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12DC" w14:textId="35CAB4C1" w:rsidR="00BC7E17" w:rsidRPr="00A600B5" w:rsidRDefault="00A600B5" w:rsidP="00BC7E17">
      <w:pPr>
        <w:pStyle w:val="Heading1"/>
        <w:rPr>
          <w:lang w:val="en-US"/>
        </w:rPr>
      </w:pPr>
      <w:r w:rsidRPr="00A600B5">
        <w:rPr>
          <w:lang w:val="en-US"/>
        </w:rPr>
        <w:t>Report on</w:t>
      </w:r>
      <w:r w:rsidR="00BC7E17" w:rsidRPr="00A600B5">
        <w:rPr>
          <w:lang w:val="en-US"/>
        </w:rPr>
        <w:t xml:space="preserve"> Qliro</w:t>
      </w:r>
      <w:r w:rsidRPr="00A600B5">
        <w:rPr>
          <w:lang w:val="en-US"/>
        </w:rPr>
        <w:t>’</w:t>
      </w:r>
      <w:r w:rsidR="00BC7E17" w:rsidRPr="00A600B5">
        <w:rPr>
          <w:lang w:val="en-US"/>
        </w:rPr>
        <w:t xml:space="preserve">s </w:t>
      </w:r>
      <w:r w:rsidRPr="00A600B5">
        <w:rPr>
          <w:lang w:val="en-US"/>
        </w:rPr>
        <w:t>remuneration system</w:t>
      </w:r>
      <w:r w:rsidR="00BC7E17" w:rsidRPr="00A600B5">
        <w:rPr>
          <w:lang w:val="en-US"/>
        </w:rPr>
        <w:t xml:space="preserve"> 202</w:t>
      </w:r>
      <w:r w:rsidR="00A3593B" w:rsidRPr="00A600B5">
        <w:rPr>
          <w:lang w:val="en-US"/>
        </w:rPr>
        <w:t>2</w:t>
      </w:r>
    </w:p>
    <w:p w14:paraId="0A9126F9" w14:textId="1211A80B" w:rsidR="00A600B5" w:rsidRPr="00A600B5" w:rsidRDefault="00A600B5" w:rsidP="00A600B5">
      <w:pPr>
        <w:rPr>
          <w:lang w:val="en-US"/>
        </w:rPr>
      </w:pPr>
      <w:r w:rsidRPr="00A600B5">
        <w:rPr>
          <w:lang w:val="en-US"/>
        </w:rPr>
        <w:t>The following remuneration information is reported in accordance with article 450 of Regulation (EU) No 575/2013 (CRR), the regulations of the Swedish Financial Supervisory Authority on remuneration systems in credit institutions, securities companies and fund management companies licensed to conduct discretionary portfolio management (FFFS 2011:1), and the regulations and general guidelines of the Swedish Financial Supervisory Authority (FFFS 2014:12) regarding prudential requirements and capital buffers. The information is published on Qliro’s website (www.qliro.com) and refers to figures as</w:t>
      </w:r>
      <w:r>
        <w:rPr>
          <w:lang w:val="en-US"/>
        </w:rPr>
        <w:t xml:space="preserve"> per</w:t>
      </w:r>
      <w:r w:rsidRPr="00A600B5">
        <w:rPr>
          <w:lang w:val="en-US"/>
        </w:rPr>
        <w:t xml:space="preserve"> December 31, </w:t>
      </w:r>
      <w:proofErr w:type="gramStart"/>
      <w:r w:rsidRPr="00A600B5">
        <w:rPr>
          <w:lang w:val="en-US"/>
        </w:rPr>
        <w:t>202</w:t>
      </w:r>
      <w:r>
        <w:rPr>
          <w:lang w:val="en-US"/>
        </w:rPr>
        <w:t>2</w:t>
      </w:r>
      <w:proofErr w:type="gramEnd"/>
      <w:r w:rsidRPr="00A600B5">
        <w:rPr>
          <w:lang w:val="en-US"/>
        </w:rPr>
        <w:t xml:space="preserve"> in thousands of Swedish kronor</w:t>
      </w:r>
      <w:r>
        <w:rPr>
          <w:lang w:val="en-US"/>
        </w:rPr>
        <w:t xml:space="preserve"> (“</w:t>
      </w:r>
      <w:r w:rsidRPr="00A600B5">
        <w:rPr>
          <w:b/>
          <w:bCs/>
          <w:lang w:val="en-US"/>
        </w:rPr>
        <w:t>KSEK</w:t>
      </w:r>
      <w:r>
        <w:rPr>
          <w:lang w:val="en-US"/>
        </w:rPr>
        <w:t>”)</w:t>
      </w:r>
      <w:r w:rsidRPr="00A600B5">
        <w:rPr>
          <w:lang w:val="en-US"/>
        </w:rPr>
        <w:t>, unless otherwise indicated.</w:t>
      </w:r>
    </w:p>
    <w:p w14:paraId="17CA93E5" w14:textId="1A56B08E" w:rsidR="00A600B5" w:rsidRPr="00B450B7" w:rsidRDefault="00A600B5" w:rsidP="00A600B5">
      <w:pPr>
        <w:rPr>
          <w:lang w:val="en-US"/>
        </w:rPr>
      </w:pPr>
      <w:r w:rsidRPr="00A600B5">
        <w:rPr>
          <w:lang w:val="en-US"/>
        </w:rPr>
        <w:t>Qli</w:t>
      </w:r>
      <w:r>
        <w:rPr>
          <w:lang w:val="en-US"/>
        </w:rPr>
        <w:t>ro</w:t>
      </w:r>
      <w:r w:rsidRPr="00A600B5">
        <w:rPr>
          <w:lang w:val="en-US"/>
        </w:rPr>
        <w:t xml:space="preserve">’s internal guidelines on reporting and disclosure of information are included in the Economics Handbook, for which the Chief Financial Officer is responsible to implement and which is annually approved by the CEO. </w:t>
      </w:r>
      <w:r w:rsidRPr="00B450B7">
        <w:rPr>
          <w:lang w:val="en-US"/>
        </w:rPr>
        <w:t>The guidelines contain among other things roles and delegated responsibilities as well as Qliro’s framework for internal control over financial reporting.</w:t>
      </w:r>
    </w:p>
    <w:p w14:paraId="6CADA5BE" w14:textId="07DE5788" w:rsidR="00BC7E17" w:rsidRPr="00A600B5" w:rsidRDefault="00A600B5" w:rsidP="00BC7E17">
      <w:pPr>
        <w:pStyle w:val="Heading3"/>
        <w:rPr>
          <w:lang w:val="en-US"/>
        </w:rPr>
      </w:pPr>
      <w:r>
        <w:rPr>
          <w:lang w:val="en-US"/>
        </w:rPr>
        <w:t>General</w:t>
      </w:r>
      <w:r w:rsidR="00BC7E17" w:rsidRPr="00A600B5">
        <w:rPr>
          <w:lang w:val="en-US"/>
        </w:rPr>
        <w:t xml:space="preserve"> information</w:t>
      </w:r>
    </w:p>
    <w:p w14:paraId="04BDFD57" w14:textId="624C2F87" w:rsidR="00A600B5" w:rsidRDefault="00A600B5" w:rsidP="00BC7E17">
      <w:pPr>
        <w:rPr>
          <w:lang w:val="en-US"/>
        </w:rPr>
      </w:pPr>
      <w:r w:rsidRPr="00A600B5">
        <w:rPr>
          <w:lang w:val="en-US"/>
        </w:rPr>
        <w:t>Qliro AB (“</w:t>
      </w:r>
      <w:r w:rsidRPr="00A600B5">
        <w:rPr>
          <w:b/>
          <w:bCs/>
          <w:lang w:val="en-US"/>
        </w:rPr>
        <w:t>Qliro</w:t>
      </w:r>
      <w:r w:rsidRPr="00A600B5">
        <w:rPr>
          <w:lang w:val="en-US"/>
        </w:rPr>
        <w:t>”) is a credit market company under the auspices of the Swedish Financial Supervisory Authority. The company operates in Sweden with cross-border operations in Norway, Finland and Denmark and its registered address and operating activities in Stockholm. Qliro’s Board of Directors approved this document and its contents for publication at the ordinary meeting</w:t>
      </w:r>
      <w:r w:rsidR="00802416" w:rsidRPr="00802416">
        <w:rPr>
          <w:lang w:val="en-US"/>
        </w:rPr>
        <w:t xml:space="preserve"> </w:t>
      </w:r>
      <w:r w:rsidR="00802416">
        <w:rPr>
          <w:lang w:val="en-US"/>
        </w:rPr>
        <w:t xml:space="preserve">of the </w:t>
      </w:r>
      <w:r w:rsidR="00802416" w:rsidRPr="00A600B5">
        <w:rPr>
          <w:lang w:val="en-US"/>
        </w:rPr>
        <w:t>Board</w:t>
      </w:r>
      <w:r w:rsidR="00802416">
        <w:rPr>
          <w:lang w:val="en-US"/>
        </w:rPr>
        <w:t xml:space="preserve"> of Directors</w:t>
      </w:r>
      <w:r w:rsidRPr="00A600B5">
        <w:rPr>
          <w:lang w:val="en-US"/>
        </w:rPr>
        <w:t xml:space="preserve"> on April </w:t>
      </w:r>
      <w:r>
        <w:rPr>
          <w:lang w:val="en-US"/>
        </w:rPr>
        <w:t>4</w:t>
      </w:r>
      <w:r w:rsidRPr="00A600B5">
        <w:rPr>
          <w:lang w:val="en-US"/>
        </w:rPr>
        <w:t>, 2022.</w:t>
      </w:r>
    </w:p>
    <w:p w14:paraId="32B53C94" w14:textId="0E36C9DA" w:rsidR="00A600B5" w:rsidRPr="00A600B5" w:rsidRDefault="00A600B5" w:rsidP="00A600B5">
      <w:pPr>
        <w:pStyle w:val="Heading2"/>
        <w:ind w:left="426" w:hanging="426"/>
        <w:rPr>
          <w:lang w:val="en-US"/>
        </w:rPr>
      </w:pPr>
      <w:r w:rsidRPr="00A600B5">
        <w:rPr>
          <w:lang w:val="en-US"/>
        </w:rPr>
        <w:t>Decision-making process for remuneration policy</w:t>
      </w:r>
    </w:p>
    <w:p w14:paraId="54AFB874" w14:textId="299EBF77" w:rsidR="00BC7E17" w:rsidRPr="00A600B5" w:rsidRDefault="00A600B5" w:rsidP="00BC7E17">
      <w:pPr>
        <w:rPr>
          <w:lang w:val="en-US"/>
        </w:rPr>
      </w:pPr>
      <w:r w:rsidRPr="00A600B5">
        <w:rPr>
          <w:lang w:val="en-US"/>
        </w:rPr>
        <w:t xml:space="preserve">The Board of Directors of Qliro has adopted a remuneration policy, which applies to all employees of Qliro. The remuneration policy is based on among other things FFFS 2011:1 and the EBA Guidelines on Sound Remuneration Policies (EBA/GL/2021/04 to the extent they are compatible with Swedish law). In line with FFFS 2011:1, the remuneration policy is formulated based on an analysis of risks related to the remuneration policy, remuneration system and risk profile. In its analysis, Qliro has </w:t>
      </w:r>
      <w:proofErr w:type="gramStart"/>
      <w:r w:rsidRPr="00A600B5">
        <w:rPr>
          <w:lang w:val="en-US"/>
        </w:rPr>
        <w:t>made an assessment of</w:t>
      </w:r>
      <w:proofErr w:type="gramEnd"/>
      <w:r w:rsidRPr="00A600B5">
        <w:rPr>
          <w:lang w:val="en-US"/>
        </w:rPr>
        <w:t xml:space="preserve"> the risks that the remuneration system could entail, taking into account authorizations, structure and the basis for determining remuneration. The analysis also identifies employees whose tasks have a significant impact on the risk profile. The analysis </w:t>
      </w:r>
      <w:proofErr w:type="gramStart"/>
      <w:r w:rsidRPr="00A600B5">
        <w:rPr>
          <w:lang w:val="en-US"/>
        </w:rPr>
        <w:t>takes into account</w:t>
      </w:r>
      <w:proofErr w:type="gramEnd"/>
      <w:r w:rsidRPr="00A600B5">
        <w:rPr>
          <w:lang w:val="en-US"/>
        </w:rPr>
        <w:t xml:space="preserve"> all risks that the company could be exposed to. The Board </w:t>
      </w:r>
      <w:r w:rsidR="00802416">
        <w:rPr>
          <w:lang w:val="en-US"/>
        </w:rPr>
        <w:t xml:space="preserve">of Directors </w:t>
      </w:r>
      <w:r w:rsidRPr="00A600B5">
        <w:rPr>
          <w:lang w:val="en-US"/>
        </w:rPr>
        <w:t>decides whether variable remuneration shall be paid out or, if that is the case, how much variable remuneration is paid out. According to the Board</w:t>
      </w:r>
      <w:r w:rsidR="00802416">
        <w:rPr>
          <w:lang w:val="en-US"/>
        </w:rPr>
        <w:t xml:space="preserve"> of Directors</w:t>
      </w:r>
      <w:r w:rsidRPr="00A600B5">
        <w:rPr>
          <w:lang w:val="en-US"/>
        </w:rPr>
        <w:t>’ proposal, the Annual General Meeting approves guidelines for salary and other remuneration to senior executives.</w:t>
      </w:r>
    </w:p>
    <w:p w14:paraId="7444292E" w14:textId="2BB44B88" w:rsidR="00BC7E17" w:rsidRPr="00A600B5" w:rsidRDefault="00BC7E17" w:rsidP="00BC7E17">
      <w:pPr>
        <w:pStyle w:val="Heading3"/>
        <w:rPr>
          <w:lang w:val="en-US"/>
        </w:rPr>
      </w:pPr>
      <w:r w:rsidRPr="00A600B5">
        <w:rPr>
          <w:lang w:val="en-US"/>
        </w:rPr>
        <w:t>1.1</w:t>
      </w:r>
      <w:r w:rsidRPr="00A600B5">
        <w:rPr>
          <w:lang w:val="en-US"/>
        </w:rPr>
        <w:tab/>
      </w:r>
      <w:r w:rsidR="00A600B5">
        <w:rPr>
          <w:lang w:val="en-US"/>
        </w:rPr>
        <w:t>Remuneration Committee</w:t>
      </w:r>
    </w:p>
    <w:p w14:paraId="42450BFE" w14:textId="71DF61E5" w:rsidR="00A600B5" w:rsidRDefault="00A600B5" w:rsidP="00BC7E17">
      <w:pPr>
        <w:rPr>
          <w:lang w:val="en-US"/>
        </w:rPr>
      </w:pPr>
      <w:r w:rsidRPr="00A600B5">
        <w:rPr>
          <w:lang w:val="en-US"/>
        </w:rPr>
        <w:t>The Board of Directors of Qliro has chosen to establish a Remuneration Committee to assist the Board</w:t>
      </w:r>
      <w:r w:rsidR="00802416" w:rsidRPr="00802416">
        <w:rPr>
          <w:lang w:val="en-US"/>
        </w:rPr>
        <w:t xml:space="preserve"> </w:t>
      </w:r>
      <w:r w:rsidR="00802416">
        <w:rPr>
          <w:lang w:val="en-US"/>
        </w:rPr>
        <w:t>of Directors</w:t>
      </w:r>
      <w:r w:rsidRPr="00A600B5">
        <w:rPr>
          <w:lang w:val="en-US"/>
        </w:rPr>
        <w:t xml:space="preserve"> in its work with remuneration. With the support of the control functions, the Remuneration Committee shall conduct an independent evaluation of the remuneration policy and its system to determine and pay remuneration and report the results to the Board</w:t>
      </w:r>
      <w:r w:rsidR="00802416" w:rsidRPr="00802416">
        <w:rPr>
          <w:lang w:val="en-US"/>
        </w:rPr>
        <w:t xml:space="preserve"> </w:t>
      </w:r>
      <w:r w:rsidR="00802416">
        <w:rPr>
          <w:lang w:val="en-US"/>
        </w:rPr>
        <w:t>of Directors</w:t>
      </w:r>
      <w:r w:rsidRPr="00A600B5">
        <w:rPr>
          <w:lang w:val="en-US"/>
        </w:rPr>
        <w:t>. Moreover, the Remuneration Committee shall</w:t>
      </w:r>
      <w:r>
        <w:rPr>
          <w:lang w:val="en-US"/>
        </w:rPr>
        <w:t>:</w:t>
      </w:r>
    </w:p>
    <w:p w14:paraId="42530730" w14:textId="3044AD9E" w:rsidR="00A600B5" w:rsidRPr="00A600B5" w:rsidRDefault="00A600B5" w:rsidP="00A600B5">
      <w:pPr>
        <w:pStyle w:val="ListParagraph"/>
        <w:numPr>
          <w:ilvl w:val="0"/>
          <w:numId w:val="15"/>
        </w:numPr>
        <w:rPr>
          <w:lang w:val="en-US"/>
        </w:rPr>
      </w:pPr>
      <w:r>
        <w:rPr>
          <w:lang w:val="en-US"/>
        </w:rPr>
        <w:t>P</w:t>
      </w:r>
      <w:r w:rsidRPr="00A600B5">
        <w:rPr>
          <w:lang w:val="en-US"/>
        </w:rPr>
        <w:t>repare issues where the Board</w:t>
      </w:r>
      <w:r w:rsidR="00802416" w:rsidRPr="00802416">
        <w:rPr>
          <w:lang w:val="en-US"/>
        </w:rPr>
        <w:t xml:space="preserve"> </w:t>
      </w:r>
      <w:r w:rsidR="00802416">
        <w:rPr>
          <w:lang w:val="en-US"/>
        </w:rPr>
        <w:t>of Directors</w:t>
      </w:r>
      <w:r w:rsidRPr="00A600B5">
        <w:rPr>
          <w:lang w:val="en-US"/>
        </w:rPr>
        <w:t xml:space="preserve"> shall decide the remuneration to senior executives and employees who are responsible for any of the internal control functions; and </w:t>
      </w:r>
    </w:p>
    <w:p w14:paraId="5A91782A" w14:textId="77777777" w:rsidR="00A600B5" w:rsidRDefault="00A600B5" w:rsidP="00A600B5">
      <w:pPr>
        <w:pStyle w:val="ListParagraph"/>
        <w:numPr>
          <w:ilvl w:val="0"/>
          <w:numId w:val="15"/>
        </w:numPr>
        <w:rPr>
          <w:lang w:val="en-US"/>
        </w:rPr>
      </w:pPr>
      <w:r>
        <w:rPr>
          <w:lang w:val="en-US"/>
        </w:rPr>
        <w:lastRenderedPageBreak/>
        <w:t>R</w:t>
      </w:r>
      <w:r w:rsidRPr="00A600B5">
        <w:rPr>
          <w:lang w:val="en-US"/>
        </w:rPr>
        <w:t xml:space="preserve">ecommend the measures that will be applied to ensure compliance with the remuneration policy. </w:t>
      </w:r>
    </w:p>
    <w:p w14:paraId="1980F184" w14:textId="0C861E51" w:rsidR="00A600B5" w:rsidRPr="00A600B5" w:rsidRDefault="00A600B5" w:rsidP="00A600B5">
      <w:pPr>
        <w:rPr>
          <w:lang w:val="en-US"/>
        </w:rPr>
      </w:pPr>
      <w:r w:rsidRPr="00A600B5">
        <w:rPr>
          <w:lang w:val="en-US"/>
        </w:rPr>
        <w:t>At the end of 2022, Qliro’s Remuneration Committee consisted of two members from the Board</w:t>
      </w:r>
      <w:r w:rsidR="00802416" w:rsidRPr="00802416">
        <w:rPr>
          <w:lang w:val="en-US"/>
        </w:rPr>
        <w:t xml:space="preserve"> </w:t>
      </w:r>
      <w:r w:rsidR="00802416">
        <w:rPr>
          <w:lang w:val="en-US"/>
        </w:rPr>
        <w:t>of Directors</w:t>
      </w:r>
      <w:r>
        <w:rPr>
          <w:lang w:val="en-US"/>
        </w:rPr>
        <w:t>, Monica Caneman (chairman of the Remuneration Committee) and Patrik Enblad,</w:t>
      </w:r>
      <w:r w:rsidRPr="00A600B5">
        <w:rPr>
          <w:lang w:val="en-US"/>
        </w:rPr>
        <w:t xml:space="preserve"> and in 2022 it met on 11 occasions.</w:t>
      </w:r>
    </w:p>
    <w:p w14:paraId="6BB9F460" w14:textId="6D668F04" w:rsidR="00BC7E17" w:rsidRPr="00A600B5" w:rsidRDefault="00BC7E17" w:rsidP="00BC7E17">
      <w:pPr>
        <w:pStyle w:val="Heading2"/>
        <w:ind w:left="426" w:hanging="426"/>
        <w:rPr>
          <w:lang w:val="en-US"/>
        </w:rPr>
      </w:pPr>
      <w:r w:rsidRPr="00A600B5">
        <w:rPr>
          <w:lang w:val="en-US"/>
        </w:rPr>
        <w:t xml:space="preserve">Strategi, </w:t>
      </w:r>
      <w:r w:rsidR="00A600B5" w:rsidRPr="00A600B5">
        <w:rPr>
          <w:lang w:val="en-US"/>
        </w:rPr>
        <w:t>principles</w:t>
      </w:r>
      <w:r w:rsidRPr="00A600B5">
        <w:rPr>
          <w:lang w:val="en-US"/>
        </w:rPr>
        <w:t xml:space="preserve"> </w:t>
      </w:r>
      <w:r w:rsidR="00A600B5" w:rsidRPr="00A600B5">
        <w:rPr>
          <w:lang w:val="en-US"/>
        </w:rPr>
        <w:t>and goals for remuneration in</w:t>
      </w:r>
      <w:r w:rsidRPr="00A600B5">
        <w:rPr>
          <w:lang w:val="en-US"/>
        </w:rPr>
        <w:t xml:space="preserve"> Qliro</w:t>
      </w:r>
    </w:p>
    <w:p w14:paraId="576B84D6" w14:textId="77777777" w:rsidR="00A600B5" w:rsidRPr="00B450B7" w:rsidRDefault="00A600B5" w:rsidP="00A600B5">
      <w:pPr>
        <w:rPr>
          <w:lang w:val="en-US"/>
        </w:rPr>
      </w:pPr>
      <w:r w:rsidRPr="00B450B7">
        <w:rPr>
          <w:lang w:val="en-US"/>
        </w:rPr>
        <w:t xml:space="preserve">A well-functioning, market-based remuneration structure is an important component to achieve good results and sound risk taking. Remuneration within Qliro shall be designed so that it attracts employees with the talents needed to carry out operations and fall within the existing cost structure. The view of remuneration is that it shall, as far as possible, be individually designed and thereby encourage each employee to perform in line with targets, strategy, </w:t>
      </w:r>
      <w:proofErr w:type="gramStart"/>
      <w:r w:rsidRPr="00B450B7">
        <w:rPr>
          <w:lang w:val="en-US"/>
        </w:rPr>
        <w:t>values</w:t>
      </w:r>
      <w:proofErr w:type="gramEnd"/>
      <w:r w:rsidRPr="00B450B7">
        <w:rPr>
          <w:lang w:val="en-US"/>
        </w:rPr>
        <w:t xml:space="preserve"> and vision. A large part of Qliro’s total expenses consists of salaries and other remuneration for employees. Consequently, it is vital to ensure that all remuneration is determined by clear principles and that Qliro regularly evaluates the risks that are associated with the remuneration system.</w:t>
      </w:r>
    </w:p>
    <w:p w14:paraId="0373427F" w14:textId="6CA7B40F" w:rsidR="00BC7E17" w:rsidRPr="00A600B5" w:rsidRDefault="00BC7E17" w:rsidP="00BC7E17">
      <w:pPr>
        <w:pStyle w:val="Heading2"/>
        <w:ind w:left="426" w:hanging="426"/>
        <w:rPr>
          <w:lang w:val="en-US"/>
        </w:rPr>
      </w:pPr>
      <w:r w:rsidRPr="00A600B5">
        <w:rPr>
          <w:lang w:val="en-US"/>
        </w:rPr>
        <w:t>Intern</w:t>
      </w:r>
      <w:r w:rsidR="00A600B5">
        <w:rPr>
          <w:lang w:val="en-US"/>
        </w:rPr>
        <w:t>al c</w:t>
      </w:r>
      <w:r w:rsidRPr="00A600B5">
        <w:rPr>
          <w:lang w:val="en-US"/>
        </w:rPr>
        <w:t>ontrol</w:t>
      </w:r>
    </w:p>
    <w:p w14:paraId="2BA7EEFC" w14:textId="77777777" w:rsidR="00A600B5" w:rsidRPr="00B450B7" w:rsidRDefault="00A600B5" w:rsidP="00BC7E17">
      <w:pPr>
        <w:rPr>
          <w:lang w:val="en-US"/>
        </w:rPr>
      </w:pPr>
      <w:r w:rsidRPr="00A600B5">
        <w:rPr>
          <w:lang w:val="en-US"/>
        </w:rPr>
        <w:t xml:space="preserve">Internal Audit annually conducts an independent review of the application of the remuneration principles and remuneration system. </w:t>
      </w:r>
      <w:r w:rsidRPr="00B450B7">
        <w:rPr>
          <w:lang w:val="en-US"/>
        </w:rPr>
        <w:t>Internal Audit reports its results to the Remuneration Committee and the Board of Directors in its entirety.</w:t>
      </w:r>
    </w:p>
    <w:p w14:paraId="053DF1D1" w14:textId="54CC2298" w:rsidR="00A600B5" w:rsidRPr="00A600B5" w:rsidRDefault="00A600B5" w:rsidP="00A600B5">
      <w:pPr>
        <w:pStyle w:val="Heading2"/>
        <w:ind w:left="426" w:hanging="426"/>
      </w:pPr>
      <w:r>
        <w:t>Remuneration system</w:t>
      </w:r>
    </w:p>
    <w:p w14:paraId="3083204A" w14:textId="77777777" w:rsidR="00A600B5" w:rsidRPr="00B450B7" w:rsidRDefault="00A600B5" w:rsidP="00BC7E17">
      <w:pPr>
        <w:rPr>
          <w:lang w:val="en-US"/>
        </w:rPr>
      </w:pPr>
      <w:r w:rsidRPr="00A600B5">
        <w:rPr>
          <w:lang w:val="en-US"/>
        </w:rPr>
        <w:t xml:space="preserve">The basic remuneration model for employees consists of fixed remuneration. </w:t>
      </w:r>
      <w:r w:rsidRPr="00B450B7">
        <w:rPr>
          <w:lang w:val="en-US"/>
        </w:rPr>
        <w:t>In certain cases, Qliro pays variable remuneration in accordance with guidelines determined by the Board of Directors. Salaries are based on the position’s degree of difficulty and the individual’s performance. Qliro therefore applies individual and differentiated salaries. The aim is to reward good performance, engagement and skills building in a way that benefits the company’s overall results. This will also help the company to be competitive in the labor market and to recruit and retain talented employees.</w:t>
      </w:r>
    </w:p>
    <w:p w14:paraId="22BEC5A0" w14:textId="77777777" w:rsidR="00A600B5" w:rsidRPr="00A600B5" w:rsidRDefault="00A600B5" w:rsidP="00A600B5">
      <w:pPr>
        <w:pStyle w:val="ListParagraph"/>
        <w:numPr>
          <w:ilvl w:val="0"/>
          <w:numId w:val="13"/>
        </w:numPr>
        <w:rPr>
          <w:lang w:val="en-US"/>
        </w:rPr>
      </w:pPr>
      <w:r w:rsidRPr="00A600B5">
        <w:rPr>
          <w:lang w:val="en-US"/>
        </w:rPr>
        <w:t>In addition to fixed and variable remuneration, Qliro pays a pension, benefits and, to a certain category of employees, availability pay. Gratuities are used on a small scale, and severance agreements may occur in a few cases but shall be proportionate to performance and risk taking. The company is restrictive with benefits beyond those offered to all employees.</w:t>
      </w:r>
    </w:p>
    <w:p w14:paraId="0BB03E4E" w14:textId="77777777" w:rsidR="00A600B5" w:rsidRPr="00A600B5" w:rsidRDefault="00A600B5" w:rsidP="00A600B5">
      <w:pPr>
        <w:pStyle w:val="ListParagraph"/>
        <w:numPr>
          <w:ilvl w:val="0"/>
          <w:numId w:val="13"/>
        </w:numPr>
        <w:rPr>
          <w:lang w:val="en-US"/>
        </w:rPr>
      </w:pPr>
      <w:r w:rsidRPr="00A600B5">
        <w:rPr>
          <w:lang w:val="en-US"/>
        </w:rPr>
        <w:t xml:space="preserve">Guaranteed variable remuneration is used only when hiring new employees under special circumstances, e.g., </w:t>
      </w:r>
      <w:proofErr w:type="gramStart"/>
      <w:r w:rsidRPr="00A600B5">
        <w:rPr>
          <w:lang w:val="en-US"/>
        </w:rPr>
        <w:t>in order to</w:t>
      </w:r>
      <w:proofErr w:type="gramEnd"/>
      <w:r w:rsidRPr="00A600B5">
        <w:rPr>
          <w:lang w:val="en-US"/>
        </w:rPr>
        <w:t xml:space="preserve"> compensate the employee for the loss of variable remuneration when switching employers and is limited to the first year of employment.</w:t>
      </w:r>
    </w:p>
    <w:p w14:paraId="0352EC23" w14:textId="77777777" w:rsidR="00A600B5" w:rsidRPr="00A600B5" w:rsidRDefault="00A600B5" w:rsidP="00A600B5">
      <w:pPr>
        <w:pStyle w:val="ListParagraph"/>
        <w:numPr>
          <w:ilvl w:val="0"/>
          <w:numId w:val="13"/>
        </w:numPr>
        <w:rPr>
          <w:lang w:val="en-US"/>
        </w:rPr>
      </w:pPr>
      <w:r w:rsidRPr="00A600B5">
        <w:rPr>
          <w:lang w:val="en-US"/>
        </w:rPr>
        <w:t>Fixed remuneration to the CEO, members of executive management and those responsible for control functions is determined by the Board of Directors. For other employees, the grandfather principal is applied, which means that the remuneration decision is made by the employee’s manager and immediate supervisor. Fixed remuneration is reviewed annually in the salary audit and each year audits are conducted for employees.</w:t>
      </w:r>
    </w:p>
    <w:p w14:paraId="1F39BE3A" w14:textId="77777777" w:rsidR="00A600B5" w:rsidRPr="00A600B5" w:rsidRDefault="00A600B5" w:rsidP="00A600B5">
      <w:pPr>
        <w:pStyle w:val="ListParagraph"/>
        <w:numPr>
          <w:ilvl w:val="0"/>
          <w:numId w:val="13"/>
        </w:numPr>
        <w:rPr>
          <w:lang w:val="en-US"/>
        </w:rPr>
      </w:pPr>
      <w:r w:rsidRPr="00A600B5">
        <w:rPr>
          <w:lang w:val="en-US"/>
        </w:rPr>
        <w:lastRenderedPageBreak/>
        <w:t>In cases where variable remuneration is paid, it shall be tied to role-specific targets, unit targets and company-wide targets, to incentivize risk taking and professionalism that benefits Qliro and not only the individual or department. The maximum amount that can be allotted to an employee (if the employee is identified as an employee whose professional activities have a significant impact on the company’s risk profile) corresponds to one fixed annual salary including benefits (such as a pension).</w:t>
      </w:r>
    </w:p>
    <w:p w14:paraId="054383CE" w14:textId="2060B319" w:rsidR="00A600B5" w:rsidRPr="00A600B5" w:rsidRDefault="00A600B5" w:rsidP="00A600B5">
      <w:pPr>
        <w:pStyle w:val="ListParagraph"/>
        <w:numPr>
          <w:ilvl w:val="0"/>
          <w:numId w:val="13"/>
        </w:numPr>
        <w:rPr>
          <w:lang w:val="en-US"/>
        </w:rPr>
      </w:pPr>
      <w:r>
        <w:rPr>
          <w:lang w:val="en-US"/>
        </w:rPr>
        <w:t>I</w:t>
      </w:r>
      <w:r w:rsidRPr="00A600B5">
        <w:rPr>
          <w:lang w:val="en-US"/>
        </w:rPr>
        <w:t>n accordance with the exemption in FFFS 2011:1,</w:t>
      </w:r>
      <w:r w:rsidR="001038A1">
        <w:rPr>
          <w:lang w:val="en-US"/>
        </w:rPr>
        <w:t xml:space="preserve"> </w:t>
      </w:r>
      <w:r>
        <w:rPr>
          <w:lang w:val="en-US"/>
        </w:rPr>
        <w:t>chapter</w:t>
      </w:r>
      <w:r w:rsidRPr="00A600B5">
        <w:rPr>
          <w:lang w:val="en-US"/>
        </w:rPr>
        <w:t xml:space="preserve"> 1, section 2a</w:t>
      </w:r>
      <w:r>
        <w:rPr>
          <w:lang w:val="en-US"/>
        </w:rPr>
        <w:t>,</w:t>
      </w:r>
      <w:r w:rsidRPr="00A600B5">
        <w:rPr>
          <w:lang w:val="en-US"/>
        </w:rPr>
        <w:t xml:space="preserve"> Qliro does not apply deferred variable remuneration.</w:t>
      </w:r>
    </w:p>
    <w:p w14:paraId="0A2419F4" w14:textId="77777777" w:rsidR="00A600B5" w:rsidRPr="00A600B5" w:rsidRDefault="00A600B5" w:rsidP="00A600B5">
      <w:pPr>
        <w:pStyle w:val="ListParagraph"/>
        <w:numPr>
          <w:ilvl w:val="0"/>
          <w:numId w:val="13"/>
        </w:numPr>
        <w:rPr>
          <w:lang w:val="en-US"/>
        </w:rPr>
      </w:pPr>
      <w:r w:rsidRPr="00A600B5">
        <w:rPr>
          <w:lang w:val="en-US"/>
        </w:rPr>
        <w:t xml:space="preserve">Commission-based salary, which is based on quantitative targets, may be paid to certain groups of employees. Commission-based salary which is not tied to future risk taking that could change the company’s income statement or balance sheet is not counted as variable remuneration. </w:t>
      </w:r>
    </w:p>
    <w:p w14:paraId="690A0568" w14:textId="77777777" w:rsidR="00A600B5" w:rsidRDefault="00A600B5" w:rsidP="00A600B5">
      <w:pPr>
        <w:pStyle w:val="ListParagraph"/>
        <w:numPr>
          <w:ilvl w:val="0"/>
          <w:numId w:val="13"/>
        </w:numPr>
        <w:rPr>
          <w:lang w:val="en-US"/>
        </w:rPr>
      </w:pPr>
      <w:r w:rsidRPr="00A600B5">
        <w:rPr>
          <w:lang w:val="en-US"/>
        </w:rPr>
        <w:t>Key employees can be offered to participate in Qliro’s long-term incentive programs or share price-related incentive programs (“</w:t>
      </w:r>
      <w:r w:rsidRPr="00A600B5">
        <w:rPr>
          <w:b/>
          <w:bCs/>
          <w:lang w:val="en-US"/>
        </w:rPr>
        <w:t>LTIP’s</w:t>
      </w:r>
      <w:r w:rsidRPr="00A600B5">
        <w:rPr>
          <w:lang w:val="en-US"/>
        </w:rPr>
        <w:t xml:space="preserve">”), provided that the Annual General Meeting of shareholders decides to implement such a program. LTIP’s can be based on warrants or other financial instruments considered suitable for the purpose. These LTIP’s shall be designed so that they ensure a commitment by participants tied to Qliro’s appreciation in value and thereby align the interests of key employees and shareholders. </w:t>
      </w:r>
      <w:r>
        <w:rPr>
          <w:lang w:val="en-US"/>
        </w:rPr>
        <w:t>For</w:t>
      </w:r>
      <w:r w:rsidRPr="00A600B5">
        <w:rPr>
          <w:lang w:val="en-US"/>
        </w:rPr>
        <w:t xml:space="preserve"> LTIP’s </w:t>
      </w:r>
      <w:r>
        <w:rPr>
          <w:lang w:val="en-US"/>
        </w:rPr>
        <w:t>the following shall</w:t>
      </w:r>
      <w:r w:rsidRPr="00A600B5">
        <w:rPr>
          <w:lang w:val="en-US"/>
        </w:rPr>
        <w:t xml:space="preserve"> generally </w:t>
      </w:r>
      <w:r>
        <w:rPr>
          <w:lang w:val="en-US"/>
        </w:rPr>
        <w:t xml:space="preserve">apply: </w:t>
      </w:r>
    </w:p>
    <w:p w14:paraId="1A233A25" w14:textId="77777777" w:rsidR="00A600B5" w:rsidRPr="00190994" w:rsidRDefault="00A600B5" w:rsidP="00A600B5">
      <w:pPr>
        <w:pStyle w:val="ListParagraph"/>
        <w:numPr>
          <w:ilvl w:val="0"/>
          <w:numId w:val="14"/>
        </w:numPr>
        <w:ind w:left="1418" w:hanging="425"/>
        <w:rPr>
          <w:lang w:val="en-US"/>
        </w:rPr>
      </w:pPr>
      <w:r w:rsidRPr="00190994">
        <w:rPr>
          <w:lang w:val="en-US"/>
        </w:rPr>
        <w:t>The term shall be at least three years;</w:t>
      </w:r>
    </w:p>
    <w:p w14:paraId="6BE8DCCB" w14:textId="40379C4F" w:rsidR="00A600B5" w:rsidRPr="00A600B5" w:rsidRDefault="00A600B5" w:rsidP="00A600B5">
      <w:pPr>
        <w:pStyle w:val="ListParagraph"/>
        <w:numPr>
          <w:ilvl w:val="0"/>
          <w:numId w:val="14"/>
        </w:numPr>
        <w:ind w:left="1418" w:hanging="425"/>
        <w:rPr>
          <w:lang w:val="en-US"/>
        </w:rPr>
      </w:pPr>
      <w:r w:rsidRPr="00A600B5">
        <w:rPr>
          <w:lang w:val="en-US"/>
        </w:rPr>
        <w:t>The participants themselves shall make a personal investment in e.g., in warrants</w:t>
      </w:r>
      <w:r>
        <w:rPr>
          <w:lang w:val="en-US"/>
        </w:rPr>
        <w:t xml:space="preserve"> </w:t>
      </w:r>
      <w:r w:rsidR="001038A1">
        <w:rPr>
          <w:lang w:val="en-US"/>
        </w:rPr>
        <w:t>to</w:t>
      </w:r>
      <w:r>
        <w:rPr>
          <w:lang w:val="en-US"/>
        </w:rPr>
        <w:t xml:space="preserve"> participate; and</w:t>
      </w:r>
    </w:p>
    <w:p w14:paraId="4AE19A46" w14:textId="77777777" w:rsidR="00A600B5" w:rsidRPr="00A600B5" w:rsidRDefault="00A600B5" w:rsidP="00A600B5">
      <w:pPr>
        <w:pStyle w:val="ListParagraph"/>
        <w:numPr>
          <w:ilvl w:val="0"/>
          <w:numId w:val="14"/>
        </w:numPr>
        <w:ind w:left="1418" w:hanging="425"/>
        <w:rPr>
          <w:lang w:val="en-US"/>
        </w:rPr>
      </w:pPr>
      <w:r>
        <w:rPr>
          <w:lang w:val="en-US"/>
        </w:rPr>
        <w:t xml:space="preserve">The own </w:t>
      </w:r>
      <w:r w:rsidRPr="00A600B5">
        <w:rPr>
          <w:lang w:val="en-US"/>
        </w:rPr>
        <w:t>investments shall be made at market value.</w:t>
      </w:r>
    </w:p>
    <w:p w14:paraId="71FC5098" w14:textId="4BE83C4E" w:rsidR="00A600B5" w:rsidRPr="00A600B5" w:rsidRDefault="00A600B5" w:rsidP="00A600B5">
      <w:pPr>
        <w:pStyle w:val="ListParagraph"/>
        <w:rPr>
          <w:lang w:val="en-US"/>
        </w:rPr>
      </w:pPr>
      <w:r w:rsidRPr="00A600B5">
        <w:rPr>
          <w:lang w:val="en-US"/>
        </w:rPr>
        <w:t>Provided that the investments are made at market value and the participants themselves take a personal financial risk, and that a potential increase in the value of the LTIP is taxed as capital and not salary, the LTIP shall not be considered to fall within the framework of variable remuneration.</w:t>
      </w:r>
    </w:p>
    <w:p w14:paraId="5B1B6635" w14:textId="53A91901" w:rsidR="00A600B5" w:rsidRPr="00A600B5" w:rsidRDefault="00A600B5" w:rsidP="00A600B5">
      <w:pPr>
        <w:rPr>
          <w:lang w:val="en-US"/>
        </w:rPr>
      </w:pPr>
      <w:r w:rsidRPr="00A600B5">
        <w:rPr>
          <w:lang w:val="en-US"/>
        </w:rPr>
        <w:t>Variable remuneration is unilaterally determined remuneration which, after a proposal by the CEO, is decided by the Board of Directors. In its decision, the Board</w:t>
      </w:r>
      <w:r w:rsidR="00802416" w:rsidRPr="00802416">
        <w:rPr>
          <w:lang w:val="en-US"/>
        </w:rPr>
        <w:t xml:space="preserve"> </w:t>
      </w:r>
      <w:r w:rsidR="00802416">
        <w:rPr>
          <w:lang w:val="en-US"/>
        </w:rPr>
        <w:t>of Directors</w:t>
      </w:r>
      <w:r w:rsidRPr="00A600B5">
        <w:rPr>
          <w:lang w:val="en-US"/>
        </w:rPr>
        <w:t xml:space="preserve"> has taken into consideration the company’s situation and thereby ensured that the total variable remuneration amount does not limit Qliro’s ability to maintain sufficient funds. In cases where the financial situation is constrained, a decision can be made by the Board </w:t>
      </w:r>
      <w:r w:rsidR="00802416">
        <w:rPr>
          <w:lang w:val="en-US"/>
        </w:rPr>
        <w:t xml:space="preserve">of Directors </w:t>
      </w:r>
      <w:r w:rsidRPr="00A600B5">
        <w:rPr>
          <w:lang w:val="en-US"/>
        </w:rPr>
        <w:t>not to pay variable remuneration.</w:t>
      </w:r>
    </w:p>
    <w:p w14:paraId="679F1C36" w14:textId="0D1BE59B" w:rsidR="00A600B5" w:rsidRPr="00A600B5" w:rsidRDefault="00A600B5" w:rsidP="00A600B5">
      <w:pPr>
        <w:rPr>
          <w:lang w:val="en-US"/>
        </w:rPr>
      </w:pPr>
      <w:r w:rsidRPr="00A600B5">
        <w:rPr>
          <w:lang w:val="en-US"/>
        </w:rPr>
        <w:t>If the company pays a large share of fixed remuneration, it becomes more difficult to quickly adjust payroll expenses when needed, which is negative compared to a large share of variable remuneration. The remuneration system is positive from a risk perspective, however, since the compensation is not directly tied to sales volume or lending volumes and thus does not incentivize high risk taking. The procedure described above reduces the risk of erroneous remuneration levels and that bonus payments could jeopardize the company’s own funds.</w:t>
      </w:r>
    </w:p>
    <w:p w14:paraId="1F2F07A9" w14:textId="77777777" w:rsidR="00A600B5" w:rsidRPr="00A600B5" w:rsidRDefault="00A600B5" w:rsidP="00A600B5">
      <w:pPr>
        <w:rPr>
          <w:lang w:val="en-US"/>
        </w:rPr>
      </w:pPr>
      <w:r w:rsidRPr="00A600B5">
        <w:rPr>
          <w:lang w:val="en-US"/>
        </w:rPr>
        <w:t>The criteria for variable remuneration for employees in control functions is designed to protect the privacy and independence of these employees. Variable remuneration for employees in control functions is therefore based on targets that are tied to those control functions independent of the performance of the business units they control. At present, no employees in control functions receive variable remuneration.</w:t>
      </w:r>
    </w:p>
    <w:p w14:paraId="13957D10" w14:textId="485F3404" w:rsidR="00BC7E17" w:rsidRPr="00A600B5" w:rsidRDefault="00A600B5" w:rsidP="00A600B5">
      <w:pPr>
        <w:pStyle w:val="Heading2"/>
        <w:ind w:left="426" w:hanging="426"/>
        <w:rPr>
          <w:lang w:val="en-US"/>
        </w:rPr>
      </w:pPr>
      <w:r w:rsidRPr="00A600B5">
        <w:rPr>
          <w:lang w:val="en-US"/>
        </w:rPr>
        <w:t>Employees whose professional activities have a significant impact on the company’s risk profile</w:t>
      </w:r>
    </w:p>
    <w:p w14:paraId="65DA3940" w14:textId="7C20E1A9" w:rsidR="00A600B5" w:rsidRPr="00A600B5" w:rsidRDefault="00A600B5" w:rsidP="00BC7E17">
      <w:pPr>
        <w:rPr>
          <w:lang w:val="en-US"/>
        </w:rPr>
      </w:pPr>
      <w:r w:rsidRPr="00A600B5">
        <w:rPr>
          <w:lang w:val="en-US"/>
        </w:rPr>
        <w:t>Based on the criteria in FFFS 2011:1, Qliro in 202</w:t>
      </w:r>
      <w:r>
        <w:rPr>
          <w:lang w:val="en-US"/>
        </w:rPr>
        <w:t>2</w:t>
      </w:r>
      <w:r w:rsidRPr="00A600B5">
        <w:rPr>
          <w:lang w:val="en-US"/>
        </w:rPr>
        <w:t xml:space="preserve"> identified 2</w:t>
      </w:r>
      <w:r>
        <w:rPr>
          <w:lang w:val="en-US"/>
        </w:rPr>
        <w:t>8</w:t>
      </w:r>
      <w:r w:rsidRPr="00A600B5">
        <w:rPr>
          <w:lang w:val="en-US"/>
        </w:rPr>
        <w:t xml:space="preserve"> employees as well as </w:t>
      </w:r>
      <w:r>
        <w:rPr>
          <w:lang w:val="en-US"/>
        </w:rPr>
        <w:t>8</w:t>
      </w:r>
      <w:r w:rsidRPr="00A600B5">
        <w:rPr>
          <w:lang w:val="en-US"/>
        </w:rPr>
        <w:t xml:space="preserve"> members </w:t>
      </w:r>
      <w:r w:rsidR="00802416">
        <w:rPr>
          <w:lang w:val="en-US"/>
        </w:rPr>
        <w:t xml:space="preserve">of the </w:t>
      </w:r>
      <w:r w:rsidR="00802416" w:rsidRPr="00A600B5">
        <w:rPr>
          <w:lang w:val="en-US"/>
        </w:rPr>
        <w:t xml:space="preserve">Board </w:t>
      </w:r>
      <w:r w:rsidR="00802416">
        <w:rPr>
          <w:lang w:val="en-US"/>
        </w:rPr>
        <w:t xml:space="preserve">of Directors </w:t>
      </w:r>
      <w:r w:rsidRPr="00A600B5">
        <w:rPr>
          <w:lang w:val="en-US"/>
        </w:rPr>
        <w:t xml:space="preserve">whose professional activities have a significant impact on the company’s risk profile, of whom </w:t>
      </w:r>
      <w:r>
        <w:rPr>
          <w:lang w:val="en-US"/>
        </w:rPr>
        <w:t>28</w:t>
      </w:r>
      <w:r w:rsidRPr="00A600B5">
        <w:rPr>
          <w:lang w:val="en-US"/>
        </w:rPr>
        <w:t xml:space="preserve"> have been eligible for variable remuneration. </w:t>
      </w:r>
    </w:p>
    <w:p w14:paraId="3A01230C" w14:textId="3B9CA985" w:rsidR="00BC7E17" w:rsidRPr="00BC7E17" w:rsidRDefault="00A600B5" w:rsidP="00BC7E17">
      <w:pPr>
        <w:pStyle w:val="Heading2"/>
        <w:ind w:left="426" w:hanging="426"/>
      </w:pPr>
      <w:r>
        <w:lastRenderedPageBreak/>
        <w:t>Remuneration in</w:t>
      </w:r>
      <w:r w:rsidR="00BC7E17" w:rsidRPr="00BC7E17">
        <w:t xml:space="preserve"> 202</w:t>
      </w:r>
      <w:r w:rsidR="00BC7E17">
        <w:t>2</w:t>
      </w:r>
    </w:p>
    <w:p w14:paraId="2967F0E7" w14:textId="67BE818E" w:rsidR="00A600B5" w:rsidRPr="00A600B5" w:rsidRDefault="00A600B5" w:rsidP="00A600B5">
      <w:pPr>
        <w:rPr>
          <w:lang w:val="en-US"/>
        </w:rPr>
      </w:pPr>
      <w:r w:rsidRPr="00A600B5">
        <w:rPr>
          <w:lang w:val="en-US"/>
        </w:rPr>
        <w:t>Below are the actual remuneration outcomes for 2022 for identified staff (employees whose professional activities have a significant impact on the company’s risk profile).</w:t>
      </w:r>
    </w:p>
    <w:p w14:paraId="7E5BF24D" w14:textId="2E7CCE00" w:rsidR="00BC7E17" w:rsidRPr="00A600B5" w:rsidRDefault="00A600B5" w:rsidP="002E1650">
      <w:pPr>
        <w:pStyle w:val="Heading4"/>
        <w:rPr>
          <w:lang w:val="en-US"/>
        </w:rPr>
      </w:pPr>
      <w:r w:rsidRPr="00A600B5">
        <w:rPr>
          <w:lang w:val="en-US"/>
        </w:rPr>
        <w:t>Template EU REM1 – Remuneration during the financial yea</w:t>
      </w:r>
      <w:r>
        <w:rPr>
          <w:lang w:val="en-US"/>
        </w:rPr>
        <w:t>r</w:t>
      </w:r>
    </w:p>
    <w:tbl>
      <w:tblPr>
        <w:tblStyle w:val="TableGrid"/>
        <w:tblW w:w="5000" w:type="pct"/>
        <w:tblLook w:val="04A0" w:firstRow="1" w:lastRow="0" w:firstColumn="1" w:lastColumn="0" w:noHBand="0" w:noVBand="1"/>
      </w:tblPr>
      <w:tblGrid>
        <w:gridCol w:w="841"/>
        <w:gridCol w:w="1210"/>
        <w:gridCol w:w="5474"/>
        <w:gridCol w:w="1618"/>
        <w:gridCol w:w="1618"/>
        <w:gridCol w:w="1618"/>
        <w:gridCol w:w="1615"/>
      </w:tblGrid>
      <w:tr w:rsidR="007C48BA" w:rsidRPr="007C48BA" w14:paraId="30ED7399" w14:textId="77777777" w:rsidTr="00A600B5">
        <w:tc>
          <w:tcPr>
            <w:tcW w:w="300" w:type="pct"/>
            <w:shd w:val="clear" w:color="auto" w:fill="AEAAAA" w:themeFill="background2" w:themeFillShade="BF"/>
          </w:tcPr>
          <w:p w14:paraId="52E2A579" w14:textId="77777777" w:rsidR="00D93DC3" w:rsidRPr="00A600B5" w:rsidRDefault="00D93DC3" w:rsidP="00044502">
            <w:pPr>
              <w:tabs>
                <w:tab w:val="left" w:pos="284"/>
                <w:tab w:val="left" w:pos="567"/>
              </w:tabs>
              <w:jc w:val="center"/>
              <w:rPr>
                <w:rFonts w:asciiTheme="majorHAnsi" w:hAnsiTheme="majorHAnsi" w:cstheme="majorHAnsi"/>
                <w:b/>
                <w:bCs/>
                <w:sz w:val="18"/>
                <w:szCs w:val="18"/>
                <w:lang w:val="en-US"/>
              </w:rPr>
            </w:pPr>
          </w:p>
        </w:tc>
        <w:tc>
          <w:tcPr>
            <w:tcW w:w="432" w:type="pct"/>
            <w:shd w:val="clear" w:color="auto" w:fill="AEAAAA" w:themeFill="background2" w:themeFillShade="BF"/>
          </w:tcPr>
          <w:p w14:paraId="5BF2F257" w14:textId="77777777" w:rsidR="00D93DC3" w:rsidRPr="00A600B5" w:rsidRDefault="00D93DC3" w:rsidP="00044502">
            <w:pPr>
              <w:tabs>
                <w:tab w:val="left" w:pos="284"/>
                <w:tab w:val="left" w:pos="567"/>
              </w:tabs>
              <w:jc w:val="center"/>
              <w:rPr>
                <w:rFonts w:asciiTheme="majorHAnsi" w:hAnsiTheme="majorHAnsi" w:cstheme="majorHAnsi"/>
                <w:b/>
                <w:bCs/>
                <w:sz w:val="18"/>
                <w:szCs w:val="18"/>
                <w:lang w:val="en-US"/>
              </w:rPr>
            </w:pPr>
          </w:p>
        </w:tc>
        <w:tc>
          <w:tcPr>
            <w:tcW w:w="1956" w:type="pct"/>
            <w:shd w:val="clear" w:color="auto" w:fill="AEAAAA" w:themeFill="background2" w:themeFillShade="BF"/>
          </w:tcPr>
          <w:p w14:paraId="1247D637" w14:textId="77777777" w:rsidR="00D93DC3" w:rsidRPr="00A600B5" w:rsidRDefault="00D93DC3" w:rsidP="00044502">
            <w:pPr>
              <w:tabs>
                <w:tab w:val="left" w:pos="284"/>
                <w:tab w:val="left" w:pos="567"/>
              </w:tabs>
              <w:jc w:val="center"/>
              <w:rPr>
                <w:rFonts w:asciiTheme="majorHAnsi" w:hAnsiTheme="majorHAnsi" w:cstheme="majorHAnsi"/>
                <w:b/>
                <w:bCs/>
                <w:sz w:val="18"/>
                <w:szCs w:val="18"/>
                <w:lang w:val="en-US"/>
              </w:rPr>
            </w:pPr>
          </w:p>
        </w:tc>
        <w:tc>
          <w:tcPr>
            <w:tcW w:w="578" w:type="pct"/>
            <w:shd w:val="clear" w:color="auto" w:fill="AEAAAA" w:themeFill="background2" w:themeFillShade="BF"/>
          </w:tcPr>
          <w:p w14:paraId="68F1B0F4" w14:textId="2D95B478" w:rsidR="00D93DC3" w:rsidRPr="00A600B5" w:rsidRDefault="00A600B5" w:rsidP="00044502">
            <w:pPr>
              <w:tabs>
                <w:tab w:val="left" w:pos="284"/>
                <w:tab w:val="left" w:pos="567"/>
              </w:tabs>
              <w:jc w:val="center"/>
              <w:rPr>
                <w:rFonts w:asciiTheme="majorHAnsi" w:hAnsiTheme="majorHAnsi" w:cstheme="majorHAnsi"/>
                <w:b/>
                <w:bCs/>
                <w:sz w:val="18"/>
                <w:szCs w:val="18"/>
                <w:lang w:val="en-US"/>
              </w:rPr>
            </w:pPr>
            <w:r w:rsidRPr="00A600B5">
              <w:rPr>
                <w:rFonts w:asciiTheme="majorHAnsi" w:hAnsiTheme="majorHAnsi" w:cstheme="majorHAnsi"/>
                <w:b/>
                <w:bCs/>
                <w:sz w:val="18"/>
                <w:szCs w:val="18"/>
                <w:lang w:val="en-US"/>
              </w:rPr>
              <w:t>MB supervisory function (Board o</w:t>
            </w:r>
            <w:r>
              <w:rPr>
                <w:rFonts w:asciiTheme="majorHAnsi" w:hAnsiTheme="majorHAnsi" w:cstheme="majorHAnsi"/>
                <w:b/>
                <w:bCs/>
                <w:sz w:val="18"/>
                <w:szCs w:val="18"/>
                <w:lang w:val="en-US"/>
              </w:rPr>
              <w:t>f Directors)</w:t>
            </w:r>
          </w:p>
        </w:tc>
        <w:tc>
          <w:tcPr>
            <w:tcW w:w="578" w:type="pct"/>
            <w:shd w:val="clear" w:color="auto" w:fill="AEAAAA" w:themeFill="background2" w:themeFillShade="BF"/>
          </w:tcPr>
          <w:p w14:paraId="1B1E6A98" w14:textId="4847B85C" w:rsidR="00D93DC3" w:rsidRPr="00A600B5" w:rsidRDefault="00A600B5" w:rsidP="00044502">
            <w:pPr>
              <w:tabs>
                <w:tab w:val="left" w:pos="284"/>
                <w:tab w:val="left" w:pos="567"/>
              </w:tabs>
              <w:jc w:val="center"/>
              <w:rPr>
                <w:rFonts w:asciiTheme="majorHAnsi" w:hAnsiTheme="majorHAnsi" w:cstheme="majorHAnsi"/>
                <w:b/>
                <w:bCs/>
                <w:sz w:val="18"/>
                <w:szCs w:val="18"/>
                <w:lang w:val="en-US"/>
              </w:rPr>
            </w:pPr>
            <w:r w:rsidRPr="00A600B5">
              <w:rPr>
                <w:rFonts w:asciiTheme="majorHAnsi" w:hAnsiTheme="majorHAnsi" w:cstheme="majorHAnsi"/>
                <w:b/>
                <w:bCs/>
                <w:sz w:val="18"/>
                <w:szCs w:val="18"/>
                <w:lang w:val="en-US"/>
              </w:rPr>
              <w:t>MB management function (Chief E</w:t>
            </w:r>
            <w:r>
              <w:rPr>
                <w:rFonts w:asciiTheme="majorHAnsi" w:hAnsiTheme="majorHAnsi" w:cstheme="majorHAnsi"/>
                <w:b/>
                <w:bCs/>
                <w:sz w:val="18"/>
                <w:szCs w:val="18"/>
                <w:lang w:val="en-US"/>
              </w:rPr>
              <w:t>xecutive Officer)</w:t>
            </w:r>
          </w:p>
        </w:tc>
        <w:tc>
          <w:tcPr>
            <w:tcW w:w="578" w:type="pct"/>
            <w:shd w:val="clear" w:color="auto" w:fill="AEAAAA" w:themeFill="background2" w:themeFillShade="BF"/>
          </w:tcPr>
          <w:p w14:paraId="78EBF68C" w14:textId="4EA605C3" w:rsidR="00D93DC3" w:rsidRPr="007C48BA" w:rsidRDefault="00A600B5" w:rsidP="00044502">
            <w:pPr>
              <w:tabs>
                <w:tab w:val="left" w:pos="284"/>
                <w:tab w:val="left" w:pos="567"/>
              </w:tabs>
              <w:jc w:val="center"/>
              <w:rPr>
                <w:rFonts w:asciiTheme="majorHAnsi" w:hAnsiTheme="majorHAnsi" w:cstheme="majorHAnsi"/>
                <w:b/>
                <w:bCs/>
                <w:sz w:val="18"/>
                <w:szCs w:val="18"/>
              </w:rPr>
            </w:pPr>
            <w:r>
              <w:rPr>
                <w:rFonts w:asciiTheme="majorHAnsi" w:hAnsiTheme="majorHAnsi" w:cstheme="majorHAnsi"/>
                <w:b/>
                <w:bCs/>
                <w:sz w:val="18"/>
                <w:szCs w:val="18"/>
              </w:rPr>
              <w:t>Other senior management</w:t>
            </w:r>
          </w:p>
        </w:tc>
        <w:tc>
          <w:tcPr>
            <w:tcW w:w="577" w:type="pct"/>
            <w:shd w:val="clear" w:color="auto" w:fill="AEAAAA" w:themeFill="background2" w:themeFillShade="BF"/>
          </w:tcPr>
          <w:p w14:paraId="0F5E54F2" w14:textId="3EF1273B" w:rsidR="00D93DC3" w:rsidRPr="007C48BA" w:rsidRDefault="00A600B5" w:rsidP="00044502">
            <w:pPr>
              <w:tabs>
                <w:tab w:val="left" w:pos="284"/>
                <w:tab w:val="left" w:pos="567"/>
              </w:tabs>
              <w:jc w:val="center"/>
              <w:rPr>
                <w:rFonts w:asciiTheme="majorHAnsi" w:hAnsiTheme="majorHAnsi" w:cstheme="majorHAnsi"/>
                <w:b/>
                <w:bCs/>
                <w:sz w:val="18"/>
                <w:szCs w:val="18"/>
              </w:rPr>
            </w:pPr>
            <w:r>
              <w:rPr>
                <w:rFonts w:asciiTheme="majorHAnsi" w:hAnsiTheme="majorHAnsi" w:cstheme="majorHAnsi"/>
                <w:b/>
                <w:bCs/>
                <w:sz w:val="18"/>
                <w:szCs w:val="18"/>
              </w:rPr>
              <w:t>Other identified staff</w:t>
            </w:r>
          </w:p>
        </w:tc>
      </w:tr>
      <w:tr w:rsidR="007C48BA" w:rsidRPr="007C48BA" w14:paraId="0C153720" w14:textId="77777777" w:rsidTr="00A600B5">
        <w:tc>
          <w:tcPr>
            <w:tcW w:w="300" w:type="pct"/>
          </w:tcPr>
          <w:p w14:paraId="20788A74" w14:textId="684376F1" w:rsidR="007C48BA" w:rsidRPr="007C48BA" w:rsidRDefault="007C48BA" w:rsidP="007C48BA">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w:t>
            </w:r>
          </w:p>
        </w:tc>
        <w:tc>
          <w:tcPr>
            <w:tcW w:w="432" w:type="pct"/>
            <w:vMerge w:val="restart"/>
            <w:vAlign w:val="center"/>
          </w:tcPr>
          <w:p w14:paraId="4B643DC3" w14:textId="67297534" w:rsidR="007C48BA" w:rsidRPr="007C48BA" w:rsidRDefault="00A600B5" w:rsidP="00044502">
            <w:pPr>
              <w:tabs>
                <w:tab w:val="left" w:pos="284"/>
                <w:tab w:val="left" w:pos="567"/>
              </w:tabs>
              <w:jc w:val="center"/>
              <w:rPr>
                <w:rFonts w:asciiTheme="majorHAnsi" w:hAnsiTheme="majorHAnsi" w:cstheme="majorHAnsi"/>
                <w:sz w:val="18"/>
                <w:szCs w:val="18"/>
              </w:rPr>
            </w:pPr>
            <w:r>
              <w:rPr>
                <w:rFonts w:asciiTheme="majorHAnsi" w:hAnsiTheme="majorHAnsi" w:cstheme="majorHAnsi"/>
                <w:sz w:val="18"/>
                <w:szCs w:val="18"/>
              </w:rPr>
              <w:t>Fixed remuneration</w:t>
            </w:r>
          </w:p>
        </w:tc>
        <w:tc>
          <w:tcPr>
            <w:tcW w:w="1956" w:type="pct"/>
          </w:tcPr>
          <w:p w14:paraId="5FA22F77" w14:textId="6FEC97BA" w:rsidR="007C48BA" w:rsidRPr="007C48BA" w:rsidRDefault="00A600B5" w:rsidP="007C48BA">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Number of identified staff</w:t>
            </w:r>
          </w:p>
        </w:tc>
        <w:tc>
          <w:tcPr>
            <w:tcW w:w="578" w:type="pct"/>
          </w:tcPr>
          <w:p w14:paraId="6C03C8F6" w14:textId="01B31478"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8 </w:t>
            </w:r>
          </w:p>
        </w:tc>
        <w:tc>
          <w:tcPr>
            <w:tcW w:w="578" w:type="pct"/>
          </w:tcPr>
          <w:p w14:paraId="68417250" w14:textId="4E24E296"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1 </w:t>
            </w:r>
          </w:p>
        </w:tc>
        <w:tc>
          <w:tcPr>
            <w:tcW w:w="578" w:type="pct"/>
          </w:tcPr>
          <w:p w14:paraId="31CB4519" w14:textId="781567A9"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14 </w:t>
            </w:r>
          </w:p>
        </w:tc>
        <w:tc>
          <w:tcPr>
            <w:tcW w:w="577" w:type="pct"/>
          </w:tcPr>
          <w:p w14:paraId="5E26A859" w14:textId="6836C710"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13 </w:t>
            </w:r>
          </w:p>
        </w:tc>
      </w:tr>
      <w:tr w:rsidR="007C48BA" w:rsidRPr="007C48BA" w14:paraId="74FFA6EC" w14:textId="77777777" w:rsidTr="00A600B5">
        <w:tc>
          <w:tcPr>
            <w:tcW w:w="300" w:type="pct"/>
          </w:tcPr>
          <w:p w14:paraId="24F08378" w14:textId="67DB6F23" w:rsidR="007C48BA" w:rsidRPr="007C48BA" w:rsidRDefault="007C48BA" w:rsidP="007C48BA">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2</w:t>
            </w:r>
          </w:p>
        </w:tc>
        <w:tc>
          <w:tcPr>
            <w:tcW w:w="432" w:type="pct"/>
            <w:vMerge/>
            <w:vAlign w:val="center"/>
          </w:tcPr>
          <w:p w14:paraId="39F058F4" w14:textId="77777777" w:rsidR="007C48BA" w:rsidRPr="007C48BA" w:rsidRDefault="007C48BA" w:rsidP="00044502">
            <w:pPr>
              <w:tabs>
                <w:tab w:val="left" w:pos="284"/>
                <w:tab w:val="left" w:pos="567"/>
              </w:tabs>
              <w:jc w:val="center"/>
              <w:rPr>
                <w:rFonts w:asciiTheme="majorHAnsi" w:hAnsiTheme="majorHAnsi" w:cstheme="majorHAnsi"/>
                <w:sz w:val="18"/>
                <w:szCs w:val="18"/>
              </w:rPr>
            </w:pPr>
          </w:p>
        </w:tc>
        <w:tc>
          <w:tcPr>
            <w:tcW w:w="1956" w:type="pct"/>
          </w:tcPr>
          <w:p w14:paraId="5491519F" w14:textId="6EE196AA" w:rsidR="007C48BA" w:rsidRPr="007C48BA" w:rsidRDefault="00A600B5" w:rsidP="007C48BA">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Total fixed remuneration</w:t>
            </w:r>
          </w:p>
        </w:tc>
        <w:tc>
          <w:tcPr>
            <w:tcW w:w="578" w:type="pct"/>
          </w:tcPr>
          <w:p w14:paraId="65F51774" w14:textId="39CACD8F"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2</w:t>
            </w:r>
            <w:r w:rsidR="001038A1">
              <w:rPr>
                <w:rFonts w:asciiTheme="majorHAnsi" w:hAnsiTheme="majorHAnsi" w:cstheme="majorHAnsi"/>
                <w:sz w:val="18"/>
                <w:szCs w:val="18"/>
              </w:rPr>
              <w:t>,</w:t>
            </w:r>
            <w:r>
              <w:rPr>
                <w:rFonts w:asciiTheme="majorHAnsi" w:hAnsiTheme="majorHAnsi" w:cstheme="majorHAnsi"/>
                <w:sz w:val="18"/>
                <w:szCs w:val="18"/>
              </w:rPr>
              <w:t xml:space="preserve">465 </w:t>
            </w:r>
          </w:p>
        </w:tc>
        <w:tc>
          <w:tcPr>
            <w:tcW w:w="578" w:type="pct"/>
          </w:tcPr>
          <w:p w14:paraId="06919D0D" w14:textId="0F9238D0" w:rsidR="007C48BA" w:rsidRPr="007C48BA" w:rsidRDefault="00B450B7"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758</w:t>
            </w:r>
            <w:r w:rsidR="00C57F0F">
              <w:rPr>
                <w:rFonts w:asciiTheme="majorHAnsi" w:hAnsiTheme="majorHAnsi" w:cstheme="majorHAnsi"/>
                <w:sz w:val="18"/>
                <w:szCs w:val="18"/>
              </w:rPr>
              <w:t xml:space="preserve"> </w:t>
            </w:r>
          </w:p>
        </w:tc>
        <w:tc>
          <w:tcPr>
            <w:tcW w:w="578" w:type="pct"/>
          </w:tcPr>
          <w:p w14:paraId="1B42C262" w14:textId="3154F7AA"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16</w:t>
            </w:r>
            <w:r w:rsidR="001038A1">
              <w:rPr>
                <w:rFonts w:asciiTheme="majorHAnsi" w:hAnsiTheme="majorHAnsi" w:cstheme="majorHAnsi"/>
                <w:sz w:val="18"/>
                <w:szCs w:val="18"/>
              </w:rPr>
              <w:t>,</w:t>
            </w:r>
            <w:r>
              <w:rPr>
                <w:rFonts w:asciiTheme="majorHAnsi" w:hAnsiTheme="majorHAnsi" w:cstheme="majorHAnsi"/>
                <w:sz w:val="18"/>
                <w:szCs w:val="18"/>
              </w:rPr>
              <w:t xml:space="preserve">708 </w:t>
            </w:r>
          </w:p>
        </w:tc>
        <w:tc>
          <w:tcPr>
            <w:tcW w:w="577" w:type="pct"/>
          </w:tcPr>
          <w:p w14:paraId="6B27E817" w14:textId="5BE87F93"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12</w:t>
            </w:r>
            <w:r w:rsidR="001038A1">
              <w:rPr>
                <w:rFonts w:asciiTheme="majorHAnsi" w:hAnsiTheme="majorHAnsi" w:cstheme="majorHAnsi"/>
                <w:sz w:val="18"/>
                <w:szCs w:val="18"/>
              </w:rPr>
              <w:t>,</w:t>
            </w:r>
            <w:r>
              <w:rPr>
                <w:rFonts w:asciiTheme="majorHAnsi" w:hAnsiTheme="majorHAnsi" w:cstheme="majorHAnsi"/>
                <w:sz w:val="18"/>
                <w:szCs w:val="18"/>
              </w:rPr>
              <w:t xml:space="preserve">446 </w:t>
            </w:r>
          </w:p>
        </w:tc>
      </w:tr>
      <w:tr w:rsidR="00C57F0F" w:rsidRPr="007C48BA" w14:paraId="4F5C4E9B" w14:textId="77777777" w:rsidTr="00A600B5">
        <w:tc>
          <w:tcPr>
            <w:tcW w:w="300" w:type="pct"/>
          </w:tcPr>
          <w:p w14:paraId="0EB3B395" w14:textId="7F36E499"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3</w:t>
            </w:r>
          </w:p>
        </w:tc>
        <w:tc>
          <w:tcPr>
            <w:tcW w:w="432" w:type="pct"/>
            <w:vMerge/>
            <w:vAlign w:val="center"/>
          </w:tcPr>
          <w:p w14:paraId="1EFD1ABF" w14:textId="77777777" w:rsidR="00C57F0F" w:rsidRPr="007C48BA" w:rsidRDefault="00C57F0F" w:rsidP="00C57F0F">
            <w:pPr>
              <w:tabs>
                <w:tab w:val="left" w:pos="284"/>
                <w:tab w:val="left" w:pos="567"/>
              </w:tabs>
              <w:jc w:val="center"/>
              <w:rPr>
                <w:rFonts w:asciiTheme="majorHAnsi" w:hAnsiTheme="majorHAnsi" w:cstheme="majorHAnsi"/>
                <w:sz w:val="18"/>
                <w:szCs w:val="18"/>
              </w:rPr>
            </w:pPr>
          </w:p>
        </w:tc>
        <w:tc>
          <w:tcPr>
            <w:tcW w:w="1956" w:type="pct"/>
          </w:tcPr>
          <w:p w14:paraId="6EF7CD07" w14:textId="1048A22E"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sidR="00A600B5">
              <w:rPr>
                <w:rFonts w:asciiTheme="majorHAnsi" w:hAnsiTheme="majorHAnsi" w:cstheme="majorHAnsi"/>
                <w:sz w:val="18"/>
                <w:szCs w:val="18"/>
              </w:rPr>
              <w:t>Of which:</w:t>
            </w:r>
            <w:r>
              <w:rPr>
                <w:rFonts w:asciiTheme="majorHAnsi" w:hAnsiTheme="majorHAnsi" w:cstheme="majorHAnsi"/>
                <w:sz w:val="18"/>
                <w:szCs w:val="18"/>
              </w:rPr>
              <w:t xml:space="preserve"> </w:t>
            </w:r>
            <w:r w:rsidR="00A600B5">
              <w:rPr>
                <w:rFonts w:asciiTheme="majorHAnsi" w:hAnsiTheme="majorHAnsi" w:cstheme="majorHAnsi"/>
                <w:sz w:val="18"/>
                <w:szCs w:val="18"/>
              </w:rPr>
              <w:t>cash-based</w:t>
            </w:r>
          </w:p>
        </w:tc>
        <w:tc>
          <w:tcPr>
            <w:tcW w:w="578" w:type="pct"/>
          </w:tcPr>
          <w:p w14:paraId="338175DD" w14:textId="1727B4CD" w:rsidR="00C57F0F"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2</w:t>
            </w:r>
            <w:r w:rsidR="001038A1">
              <w:rPr>
                <w:rFonts w:asciiTheme="majorHAnsi" w:hAnsiTheme="majorHAnsi" w:cstheme="majorHAnsi"/>
                <w:sz w:val="18"/>
                <w:szCs w:val="18"/>
              </w:rPr>
              <w:t>,</w:t>
            </w:r>
            <w:r>
              <w:rPr>
                <w:rFonts w:asciiTheme="majorHAnsi" w:hAnsiTheme="majorHAnsi" w:cstheme="majorHAnsi"/>
                <w:sz w:val="18"/>
                <w:szCs w:val="18"/>
              </w:rPr>
              <w:t xml:space="preserve">465 </w:t>
            </w:r>
          </w:p>
        </w:tc>
        <w:tc>
          <w:tcPr>
            <w:tcW w:w="578" w:type="pct"/>
          </w:tcPr>
          <w:p w14:paraId="08935D8E" w14:textId="7008335A" w:rsidR="00C57F0F" w:rsidRPr="007C48BA" w:rsidRDefault="00B450B7"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758</w:t>
            </w:r>
            <w:r w:rsidR="00C57F0F">
              <w:rPr>
                <w:rFonts w:asciiTheme="majorHAnsi" w:hAnsiTheme="majorHAnsi" w:cstheme="majorHAnsi"/>
                <w:sz w:val="18"/>
                <w:szCs w:val="18"/>
              </w:rPr>
              <w:t xml:space="preserve"> </w:t>
            </w:r>
          </w:p>
        </w:tc>
        <w:tc>
          <w:tcPr>
            <w:tcW w:w="578" w:type="pct"/>
          </w:tcPr>
          <w:p w14:paraId="1878C1E4" w14:textId="64F4B1F6" w:rsidR="00C57F0F"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16</w:t>
            </w:r>
            <w:r w:rsidR="001038A1">
              <w:rPr>
                <w:rFonts w:asciiTheme="majorHAnsi" w:hAnsiTheme="majorHAnsi" w:cstheme="majorHAnsi"/>
                <w:sz w:val="18"/>
                <w:szCs w:val="18"/>
              </w:rPr>
              <w:t>,</w:t>
            </w:r>
            <w:r>
              <w:rPr>
                <w:rFonts w:asciiTheme="majorHAnsi" w:hAnsiTheme="majorHAnsi" w:cstheme="majorHAnsi"/>
                <w:sz w:val="18"/>
                <w:szCs w:val="18"/>
              </w:rPr>
              <w:t xml:space="preserve">708 </w:t>
            </w:r>
          </w:p>
        </w:tc>
        <w:tc>
          <w:tcPr>
            <w:tcW w:w="577" w:type="pct"/>
          </w:tcPr>
          <w:p w14:paraId="6BB30F3C" w14:textId="3487CF6C" w:rsidR="00C57F0F"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12</w:t>
            </w:r>
            <w:r w:rsidR="001038A1">
              <w:rPr>
                <w:rFonts w:asciiTheme="majorHAnsi" w:hAnsiTheme="majorHAnsi" w:cstheme="majorHAnsi"/>
                <w:sz w:val="18"/>
                <w:szCs w:val="18"/>
              </w:rPr>
              <w:t>,</w:t>
            </w:r>
            <w:r>
              <w:rPr>
                <w:rFonts w:asciiTheme="majorHAnsi" w:hAnsiTheme="majorHAnsi" w:cstheme="majorHAnsi"/>
                <w:sz w:val="18"/>
                <w:szCs w:val="18"/>
              </w:rPr>
              <w:t xml:space="preserve">446 </w:t>
            </w:r>
          </w:p>
        </w:tc>
      </w:tr>
      <w:tr w:rsidR="00C57F0F" w:rsidRPr="007C48BA" w14:paraId="7796A7BD" w14:textId="77777777" w:rsidTr="00A600B5">
        <w:tc>
          <w:tcPr>
            <w:tcW w:w="300" w:type="pct"/>
          </w:tcPr>
          <w:p w14:paraId="23407A09" w14:textId="4B4FB5CF"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EU-4a</w:t>
            </w:r>
          </w:p>
        </w:tc>
        <w:tc>
          <w:tcPr>
            <w:tcW w:w="432" w:type="pct"/>
            <w:vMerge/>
            <w:vAlign w:val="center"/>
          </w:tcPr>
          <w:p w14:paraId="7B966A0E" w14:textId="77777777" w:rsidR="00C57F0F" w:rsidRPr="007C48BA" w:rsidRDefault="00C57F0F" w:rsidP="00C57F0F">
            <w:pPr>
              <w:tabs>
                <w:tab w:val="left" w:pos="284"/>
                <w:tab w:val="left" w:pos="567"/>
              </w:tabs>
              <w:jc w:val="center"/>
              <w:rPr>
                <w:rFonts w:asciiTheme="majorHAnsi" w:hAnsiTheme="majorHAnsi" w:cstheme="majorHAnsi"/>
                <w:sz w:val="18"/>
                <w:szCs w:val="18"/>
              </w:rPr>
            </w:pPr>
          </w:p>
        </w:tc>
        <w:tc>
          <w:tcPr>
            <w:tcW w:w="1956" w:type="pct"/>
          </w:tcPr>
          <w:p w14:paraId="546FA388" w14:textId="4904DD54" w:rsidR="00C57F0F" w:rsidRPr="00A600B5" w:rsidRDefault="00C57F0F" w:rsidP="00C57F0F">
            <w:pPr>
              <w:tabs>
                <w:tab w:val="left" w:pos="284"/>
                <w:tab w:val="left" w:pos="567"/>
              </w:tabs>
              <w:rPr>
                <w:rFonts w:asciiTheme="majorHAnsi" w:hAnsiTheme="majorHAnsi" w:cstheme="majorHAnsi"/>
                <w:sz w:val="18"/>
                <w:szCs w:val="18"/>
                <w:lang w:val="en-US"/>
              </w:rPr>
            </w:pPr>
            <w:r w:rsidRPr="00A600B5">
              <w:rPr>
                <w:rFonts w:asciiTheme="majorHAnsi" w:hAnsiTheme="majorHAnsi" w:cstheme="majorHAnsi"/>
                <w:sz w:val="18"/>
                <w:szCs w:val="18"/>
                <w:lang w:val="en-US"/>
              </w:rPr>
              <w:tab/>
            </w:r>
            <w:r w:rsidR="00A600B5" w:rsidRPr="00A600B5">
              <w:rPr>
                <w:rFonts w:asciiTheme="majorHAnsi" w:hAnsiTheme="majorHAnsi" w:cstheme="majorHAnsi"/>
                <w:sz w:val="18"/>
                <w:szCs w:val="18"/>
                <w:lang w:val="en-US"/>
              </w:rPr>
              <w:t>Of which:</w:t>
            </w:r>
            <w:r w:rsidRPr="00A600B5">
              <w:rPr>
                <w:rFonts w:asciiTheme="majorHAnsi" w:hAnsiTheme="majorHAnsi" w:cstheme="majorHAnsi"/>
                <w:sz w:val="18"/>
                <w:szCs w:val="18"/>
                <w:lang w:val="en-US"/>
              </w:rPr>
              <w:t xml:space="preserve"> </w:t>
            </w:r>
            <w:r w:rsidR="00A600B5" w:rsidRPr="00A600B5">
              <w:rPr>
                <w:rFonts w:asciiTheme="majorHAnsi" w:hAnsiTheme="majorHAnsi" w:cstheme="majorHAnsi"/>
                <w:sz w:val="18"/>
                <w:szCs w:val="18"/>
                <w:lang w:val="en-US"/>
              </w:rPr>
              <w:t>shares or e</w:t>
            </w:r>
            <w:r w:rsidR="00A600B5">
              <w:rPr>
                <w:rFonts w:asciiTheme="majorHAnsi" w:hAnsiTheme="majorHAnsi" w:cstheme="majorHAnsi"/>
                <w:sz w:val="18"/>
                <w:szCs w:val="18"/>
                <w:lang w:val="en-US"/>
              </w:rPr>
              <w:t>quivalent ownership interests</w:t>
            </w:r>
          </w:p>
        </w:tc>
        <w:tc>
          <w:tcPr>
            <w:tcW w:w="578" w:type="pct"/>
          </w:tcPr>
          <w:p w14:paraId="59E16967" w14:textId="5864D91F"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37957BD2" w14:textId="32C27723"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7CBBF43D" w14:textId="7CEB150E"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5195B6E7" w14:textId="3CA74F01"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1119E36D" w14:textId="77777777" w:rsidTr="00A600B5">
        <w:tc>
          <w:tcPr>
            <w:tcW w:w="300" w:type="pct"/>
          </w:tcPr>
          <w:p w14:paraId="69ADE61C" w14:textId="4EDEE445"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5</w:t>
            </w:r>
          </w:p>
        </w:tc>
        <w:tc>
          <w:tcPr>
            <w:tcW w:w="432" w:type="pct"/>
            <w:vMerge/>
            <w:vAlign w:val="center"/>
          </w:tcPr>
          <w:p w14:paraId="4F61A21A" w14:textId="77777777" w:rsidR="00C57F0F" w:rsidRPr="007C48BA" w:rsidRDefault="00C57F0F" w:rsidP="00C57F0F">
            <w:pPr>
              <w:tabs>
                <w:tab w:val="left" w:pos="284"/>
                <w:tab w:val="left" w:pos="567"/>
              </w:tabs>
              <w:jc w:val="center"/>
              <w:rPr>
                <w:rFonts w:asciiTheme="majorHAnsi" w:hAnsiTheme="majorHAnsi" w:cstheme="majorHAnsi"/>
                <w:sz w:val="18"/>
                <w:szCs w:val="18"/>
              </w:rPr>
            </w:pPr>
          </w:p>
        </w:tc>
        <w:tc>
          <w:tcPr>
            <w:tcW w:w="1956" w:type="pct"/>
          </w:tcPr>
          <w:p w14:paraId="6F94A8CB" w14:textId="18167504" w:rsidR="00C57F0F" w:rsidRPr="00A600B5" w:rsidRDefault="00C57F0F" w:rsidP="00C57F0F">
            <w:pPr>
              <w:tabs>
                <w:tab w:val="left" w:pos="284"/>
                <w:tab w:val="left" w:pos="567"/>
              </w:tabs>
              <w:rPr>
                <w:rFonts w:asciiTheme="majorHAnsi" w:hAnsiTheme="majorHAnsi" w:cstheme="majorHAnsi"/>
                <w:sz w:val="18"/>
                <w:szCs w:val="18"/>
                <w:lang w:val="en-US"/>
              </w:rPr>
            </w:pPr>
            <w:r w:rsidRPr="00A600B5">
              <w:rPr>
                <w:rFonts w:asciiTheme="majorHAnsi" w:hAnsiTheme="majorHAnsi" w:cstheme="majorHAnsi"/>
                <w:sz w:val="18"/>
                <w:szCs w:val="18"/>
                <w:lang w:val="en-US"/>
              </w:rPr>
              <w:tab/>
            </w:r>
            <w:r w:rsidR="00A600B5" w:rsidRPr="00A600B5">
              <w:rPr>
                <w:rFonts w:asciiTheme="majorHAnsi" w:hAnsiTheme="majorHAnsi" w:cstheme="majorHAnsi"/>
                <w:sz w:val="18"/>
                <w:szCs w:val="18"/>
                <w:lang w:val="en-US"/>
              </w:rPr>
              <w:t>Of which:</w:t>
            </w:r>
            <w:r w:rsidRPr="00A600B5">
              <w:rPr>
                <w:rFonts w:asciiTheme="majorHAnsi" w:hAnsiTheme="majorHAnsi" w:cstheme="majorHAnsi"/>
                <w:sz w:val="18"/>
                <w:szCs w:val="18"/>
                <w:lang w:val="en-US"/>
              </w:rPr>
              <w:t xml:space="preserve"> </w:t>
            </w:r>
            <w:r w:rsidR="00A600B5" w:rsidRPr="00A600B5">
              <w:rPr>
                <w:rFonts w:asciiTheme="majorHAnsi" w:hAnsiTheme="majorHAnsi" w:cstheme="majorHAnsi"/>
                <w:sz w:val="18"/>
                <w:szCs w:val="18"/>
                <w:lang w:val="en-US"/>
              </w:rPr>
              <w:t>share-linked i</w:t>
            </w:r>
            <w:r w:rsidR="00A600B5">
              <w:rPr>
                <w:rFonts w:asciiTheme="majorHAnsi" w:hAnsiTheme="majorHAnsi" w:cstheme="majorHAnsi"/>
                <w:sz w:val="18"/>
                <w:szCs w:val="18"/>
                <w:lang w:val="en-US"/>
              </w:rPr>
              <w:t>nstruments or equivalent non-cash instruments</w:t>
            </w:r>
          </w:p>
        </w:tc>
        <w:tc>
          <w:tcPr>
            <w:tcW w:w="578" w:type="pct"/>
          </w:tcPr>
          <w:p w14:paraId="351C5C6C" w14:textId="2FEA68DB"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1C126BA3" w14:textId="69614E28"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09B7FBDF" w14:textId="6193C633"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72466191" w14:textId="798EB406"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0B161050" w14:textId="77777777" w:rsidTr="00A600B5">
        <w:tc>
          <w:tcPr>
            <w:tcW w:w="300" w:type="pct"/>
          </w:tcPr>
          <w:p w14:paraId="6A21C413" w14:textId="5A140AE7"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EU-5x</w:t>
            </w:r>
          </w:p>
        </w:tc>
        <w:tc>
          <w:tcPr>
            <w:tcW w:w="432" w:type="pct"/>
            <w:vMerge/>
            <w:vAlign w:val="center"/>
          </w:tcPr>
          <w:p w14:paraId="2C6BF607" w14:textId="77777777" w:rsidR="00C57F0F" w:rsidRPr="007C48BA" w:rsidRDefault="00C57F0F" w:rsidP="00C57F0F">
            <w:pPr>
              <w:tabs>
                <w:tab w:val="left" w:pos="284"/>
                <w:tab w:val="left" w:pos="567"/>
              </w:tabs>
              <w:jc w:val="center"/>
              <w:rPr>
                <w:rFonts w:asciiTheme="majorHAnsi" w:hAnsiTheme="majorHAnsi" w:cstheme="majorHAnsi"/>
                <w:sz w:val="18"/>
                <w:szCs w:val="18"/>
              </w:rPr>
            </w:pPr>
          </w:p>
        </w:tc>
        <w:tc>
          <w:tcPr>
            <w:tcW w:w="1956" w:type="pct"/>
          </w:tcPr>
          <w:p w14:paraId="44CA3E50" w14:textId="14E8281D"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sidR="00A600B5">
              <w:rPr>
                <w:rFonts w:asciiTheme="majorHAnsi" w:hAnsiTheme="majorHAnsi" w:cstheme="majorHAnsi"/>
                <w:sz w:val="18"/>
                <w:szCs w:val="18"/>
              </w:rPr>
              <w:t>Of which:</w:t>
            </w:r>
            <w:r w:rsidRPr="004C2A84">
              <w:rPr>
                <w:rFonts w:asciiTheme="majorHAnsi" w:hAnsiTheme="majorHAnsi" w:cstheme="majorHAnsi"/>
                <w:sz w:val="18"/>
                <w:szCs w:val="18"/>
              </w:rPr>
              <w:t xml:space="preserve"> </w:t>
            </w:r>
            <w:r w:rsidR="00A600B5">
              <w:rPr>
                <w:rFonts w:asciiTheme="majorHAnsi" w:hAnsiTheme="majorHAnsi" w:cstheme="majorHAnsi"/>
                <w:sz w:val="18"/>
                <w:szCs w:val="18"/>
              </w:rPr>
              <w:t>other instruments</w:t>
            </w:r>
          </w:p>
        </w:tc>
        <w:tc>
          <w:tcPr>
            <w:tcW w:w="578" w:type="pct"/>
          </w:tcPr>
          <w:p w14:paraId="1DC55FC0" w14:textId="4EC5774B"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37F716AD" w14:textId="55004991"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1D2DC118" w14:textId="7D278623"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7F556BD0" w14:textId="729D4223"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27FAF229" w14:textId="77777777" w:rsidTr="00A600B5">
        <w:tc>
          <w:tcPr>
            <w:tcW w:w="300" w:type="pct"/>
          </w:tcPr>
          <w:p w14:paraId="4D2AAFC8" w14:textId="7A47D301"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7</w:t>
            </w:r>
          </w:p>
        </w:tc>
        <w:tc>
          <w:tcPr>
            <w:tcW w:w="432" w:type="pct"/>
            <w:vMerge/>
            <w:vAlign w:val="center"/>
          </w:tcPr>
          <w:p w14:paraId="79A665A4" w14:textId="77777777" w:rsidR="00C57F0F" w:rsidRPr="007C48BA" w:rsidRDefault="00C57F0F" w:rsidP="00C57F0F">
            <w:pPr>
              <w:tabs>
                <w:tab w:val="left" w:pos="284"/>
                <w:tab w:val="left" w:pos="567"/>
              </w:tabs>
              <w:jc w:val="center"/>
              <w:rPr>
                <w:rFonts w:asciiTheme="majorHAnsi" w:hAnsiTheme="majorHAnsi" w:cstheme="majorHAnsi"/>
                <w:sz w:val="18"/>
                <w:szCs w:val="18"/>
              </w:rPr>
            </w:pPr>
          </w:p>
        </w:tc>
        <w:tc>
          <w:tcPr>
            <w:tcW w:w="1956" w:type="pct"/>
          </w:tcPr>
          <w:p w14:paraId="7F964A8C" w14:textId="0811B425"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sidR="00A600B5">
              <w:rPr>
                <w:rFonts w:asciiTheme="majorHAnsi" w:hAnsiTheme="majorHAnsi" w:cstheme="majorHAnsi"/>
                <w:sz w:val="18"/>
                <w:szCs w:val="18"/>
              </w:rPr>
              <w:t>Of which:</w:t>
            </w:r>
            <w:r w:rsidRPr="004C2A84">
              <w:rPr>
                <w:rFonts w:asciiTheme="majorHAnsi" w:hAnsiTheme="majorHAnsi" w:cstheme="majorHAnsi"/>
                <w:sz w:val="18"/>
                <w:szCs w:val="18"/>
              </w:rPr>
              <w:t xml:space="preserve"> </w:t>
            </w:r>
            <w:r w:rsidR="00A600B5">
              <w:rPr>
                <w:rFonts w:asciiTheme="majorHAnsi" w:hAnsiTheme="majorHAnsi" w:cstheme="majorHAnsi"/>
                <w:sz w:val="18"/>
                <w:szCs w:val="18"/>
              </w:rPr>
              <w:t>other forms</w:t>
            </w:r>
          </w:p>
        </w:tc>
        <w:tc>
          <w:tcPr>
            <w:tcW w:w="578" w:type="pct"/>
          </w:tcPr>
          <w:p w14:paraId="43B6D45F" w14:textId="087E5B01"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57FE0F8F" w14:textId="0713353E"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48A7D2FD" w14:textId="7051F754"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69561F48" w14:textId="15FF3194"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A600B5" w:rsidRPr="007C48BA" w14:paraId="45E977CE" w14:textId="77777777" w:rsidTr="00A600B5">
        <w:tc>
          <w:tcPr>
            <w:tcW w:w="300" w:type="pct"/>
          </w:tcPr>
          <w:p w14:paraId="6449AFF1" w14:textId="55E4A603" w:rsidR="00A600B5" w:rsidRPr="007C48BA" w:rsidRDefault="00A600B5" w:rsidP="00A600B5">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9</w:t>
            </w:r>
          </w:p>
        </w:tc>
        <w:tc>
          <w:tcPr>
            <w:tcW w:w="432" w:type="pct"/>
            <w:vMerge w:val="restart"/>
            <w:vAlign w:val="center"/>
          </w:tcPr>
          <w:p w14:paraId="79EF8C8F" w14:textId="0ACC46B8" w:rsidR="00A600B5" w:rsidRPr="007C48BA" w:rsidRDefault="00A600B5" w:rsidP="00A600B5">
            <w:pPr>
              <w:tabs>
                <w:tab w:val="left" w:pos="284"/>
                <w:tab w:val="left" w:pos="567"/>
              </w:tabs>
              <w:jc w:val="center"/>
              <w:rPr>
                <w:rFonts w:asciiTheme="majorHAnsi" w:hAnsiTheme="majorHAnsi" w:cstheme="majorHAnsi"/>
                <w:sz w:val="18"/>
                <w:szCs w:val="18"/>
              </w:rPr>
            </w:pPr>
            <w:r>
              <w:rPr>
                <w:rFonts w:asciiTheme="majorHAnsi" w:hAnsiTheme="majorHAnsi" w:cstheme="majorHAnsi"/>
                <w:sz w:val="18"/>
                <w:szCs w:val="18"/>
              </w:rPr>
              <w:t>Variable remuneration</w:t>
            </w:r>
          </w:p>
        </w:tc>
        <w:tc>
          <w:tcPr>
            <w:tcW w:w="1956" w:type="pct"/>
          </w:tcPr>
          <w:p w14:paraId="75F04C3F" w14:textId="6BB1E2C4" w:rsidR="00A600B5" w:rsidRPr="007C48BA" w:rsidRDefault="00A600B5" w:rsidP="00A600B5">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Number of identified staff</w:t>
            </w:r>
          </w:p>
        </w:tc>
        <w:tc>
          <w:tcPr>
            <w:tcW w:w="578" w:type="pct"/>
          </w:tcPr>
          <w:p w14:paraId="1EAA084C" w14:textId="4161A636"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8</w:t>
            </w:r>
          </w:p>
        </w:tc>
        <w:tc>
          <w:tcPr>
            <w:tcW w:w="578" w:type="pct"/>
          </w:tcPr>
          <w:p w14:paraId="7C0D0560" w14:textId="52A5751A"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w:t>
            </w:r>
          </w:p>
        </w:tc>
        <w:tc>
          <w:tcPr>
            <w:tcW w:w="578" w:type="pct"/>
          </w:tcPr>
          <w:p w14:paraId="1A9435CE" w14:textId="51C68CF4"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14</w:t>
            </w:r>
          </w:p>
        </w:tc>
        <w:tc>
          <w:tcPr>
            <w:tcW w:w="577" w:type="pct"/>
          </w:tcPr>
          <w:p w14:paraId="42E0D21D" w14:textId="7AD0863A"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13</w:t>
            </w:r>
          </w:p>
        </w:tc>
      </w:tr>
      <w:tr w:rsidR="00A600B5" w:rsidRPr="007C48BA" w14:paraId="7CB1127F" w14:textId="77777777" w:rsidTr="00A600B5">
        <w:tc>
          <w:tcPr>
            <w:tcW w:w="300" w:type="pct"/>
          </w:tcPr>
          <w:p w14:paraId="28A5E870" w14:textId="02C2FE3B" w:rsidR="00A600B5" w:rsidRPr="007C48BA" w:rsidRDefault="00A600B5" w:rsidP="00A600B5">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10</w:t>
            </w:r>
          </w:p>
        </w:tc>
        <w:tc>
          <w:tcPr>
            <w:tcW w:w="432" w:type="pct"/>
            <w:vMerge/>
          </w:tcPr>
          <w:p w14:paraId="7FD2D8EA" w14:textId="77777777" w:rsidR="00A600B5" w:rsidRPr="007C48BA" w:rsidRDefault="00A600B5" w:rsidP="00A600B5">
            <w:pPr>
              <w:tabs>
                <w:tab w:val="left" w:pos="284"/>
                <w:tab w:val="left" w:pos="567"/>
              </w:tabs>
              <w:rPr>
                <w:rFonts w:asciiTheme="majorHAnsi" w:hAnsiTheme="majorHAnsi" w:cstheme="majorHAnsi"/>
                <w:sz w:val="18"/>
                <w:szCs w:val="18"/>
              </w:rPr>
            </w:pPr>
          </w:p>
        </w:tc>
        <w:tc>
          <w:tcPr>
            <w:tcW w:w="1956" w:type="pct"/>
          </w:tcPr>
          <w:p w14:paraId="56D88D1B" w14:textId="4361A510" w:rsidR="00A600B5" w:rsidRPr="007C48BA" w:rsidRDefault="00A600B5" w:rsidP="00A600B5">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Total fixed remuneration</w:t>
            </w:r>
          </w:p>
        </w:tc>
        <w:tc>
          <w:tcPr>
            <w:tcW w:w="578" w:type="pct"/>
          </w:tcPr>
          <w:p w14:paraId="4CAA27A3" w14:textId="2CBA5469"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w:t>
            </w:r>
          </w:p>
        </w:tc>
        <w:tc>
          <w:tcPr>
            <w:tcW w:w="578" w:type="pct"/>
          </w:tcPr>
          <w:p w14:paraId="36BF8875" w14:textId="61E4D203" w:rsidR="00A600B5" w:rsidRPr="007C48BA" w:rsidRDefault="00B450B7"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541</w:t>
            </w:r>
            <w:r w:rsidR="00A600B5">
              <w:rPr>
                <w:rFonts w:asciiTheme="majorHAnsi" w:hAnsiTheme="majorHAnsi" w:cstheme="majorHAnsi"/>
                <w:sz w:val="18"/>
                <w:szCs w:val="18"/>
              </w:rPr>
              <w:t xml:space="preserve"> </w:t>
            </w:r>
          </w:p>
        </w:tc>
        <w:tc>
          <w:tcPr>
            <w:tcW w:w="578" w:type="pct"/>
          </w:tcPr>
          <w:p w14:paraId="6CE2CE16" w14:textId="53A0F374"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192</w:t>
            </w:r>
          </w:p>
        </w:tc>
        <w:tc>
          <w:tcPr>
            <w:tcW w:w="577" w:type="pct"/>
          </w:tcPr>
          <w:p w14:paraId="54091D2C" w14:textId="3F2B0106" w:rsidR="00A600B5" w:rsidRPr="007C48BA" w:rsidRDefault="00A600B5" w:rsidP="00A600B5">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60</w:t>
            </w:r>
          </w:p>
        </w:tc>
      </w:tr>
      <w:tr w:rsidR="00C57F0F" w:rsidRPr="007C48BA" w14:paraId="762AB38B" w14:textId="77777777" w:rsidTr="00A600B5">
        <w:tc>
          <w:tcPr>
            <w:tcW w:w="300" w:type="pct"/>
          </w:tcPr>
          <w:p w14:paraId="301F9975" w14:textId="45D3BB31"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11</w:t>
            </w:r>
          </w:p>
        </w:tc>
        <w:tc>
          <w:tcPr>
            <w:tcW w:w="432" w:type="pct"/>
            <w:vMerge/>
          </w:tcPr>
          <w:p w14:paraId="474EF924" w14:textId="77777777" w:rsidR="00C57F0F" w:rsidRPr="007C48BA" w:rsidRDefault="00C57F0F" w:rsidP="00C57F0F">
            <w:pPr>
              <w:tabs>
                <w:tab w:val="left" w:pos="284"/>
                <w:tab w:val="left" w:pos="567"/>
              </w:tabs>
              <w:rPr>
                <w:rFonts w:asciiTheme="majorHAnsi" w:hAnsiTheme="majorHAnsi" w:cstheme="majorHAnsi"/>
                <w:sz w:val="18"/>
                <w:szCs w:val="18"/>
              </w:rPr>
            </w:pPr>
          </w:p>
        </w:tc>
        <w:tc>
          <w:tcPr>
            <w:tcW w:w="1956" w:type="pct"/>
          </w:tcPr>
          <w:p w14:paraId="3BB8B98A" w14:textId="6F021252" w:rsidR="00C57F0F" w:rsidRPr="007C48BA" w:rsidRDefault="00A600B5"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t>Of which: cash-based</w:t>
            </w:r>
          </w:p>
        </w:tc>
        <w:tc>
          <w:tcPr>
            <w:tcW w:w="578" w:type="pct"/>
          </w:tcPr>
          <w:p w14:paraId="38B2A658" w14:textId="259D725E"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38A45530" w14:textId="24393E57"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1364D667" w14:textId="4319604E"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1E81D73B" w14:textId="3F905BDD"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78A7BB88" w14:textId="77777777" w:rsidTr="00A600B5">
        <w:tc>
          <w:tcPr>
            <w:tcW w:w="300" w:type="pct"/>
          </w:tcPr>
          <w:p w14:paraId="5F36D5C7" w14:textId="19B7C922"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12</w:t>
            </w:r>
          </w:p>
        </w:tc>
        <w:tc>
          <w:tcPr>
            <w:tcW w:w="432" w:type="pct"/>
            <w:vMerge/>
          </w:tcPr>
          <w:p w14:paraId="55B41DEA" w14:textId="77777777" w:rsidR="00C57F0F" w:rsidRPr="007C48BA" w:rsidRDefault="00C57F0F" w:rsidP="00C57F0F">
            <w:pPr>
              <w:tabs>
                <w:tab w:val="left" w:pos="284"/>
                <w:tab w:val="left" w:pos="567"/>
              </w:tabs>
              <w:rPr>
                <w:rFonts w:asciiTheme="majorHAnsi" w:hAnsiTheme="majorHAnsi" w:cstheme="majorHAnsi"/>
                <w:sz w:val="18"/>
                <w:szCs w:val="18"/>
              </w:rPr>
            </w:pPr>
          </w:p>
        </w:tc>
        <w:tc>
          <w:tcPr>
            <w:tcW w:w="1956" w:type="pct"/>
          </w:tcPr>
          <w:p w14:paraId="79EC860D" w14:textId="3CE32A40"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sidR="00A600B5">
              <w:rPr>
                <w:rFonts w:asciiTheme="majorHAnsi" w:hAnsiTheme="majorHAnsi" w:cstheme="majorHAnsi"/>
                <w:sz w:val="18"/>
                <w:szCs w:val="18"/>
              </w:rPr>
              <w:t>Of which:</w:t>
            </w:r>
            <w:r w:rsidRPr="002B7154">
              <w:rPr>
                <w:rFonts w:asciiTheme="majorHAnsi" w:hAnsiTheme="majorHAnsi" w:cstheme="majorHAnsi"/>
                <w:sz w:val="18"/>
                <w:szCs w:val="18"/>
              </w:rPr>
              <w:t xml:space="preserve"> </w:t>
            </w:r>
            <w:r w:rsidR="00A600B5">
              <w:rPr>
                <w:rFonts w:asciiTheme="majorHAnsi" w:hAnsiTheme="majorHAnsi" w:cstheme="majorHAnsi"/>
                <w:sz w:val="18"/>
                <w:szCs w:val="18"/>
              </w:rPr>
              <w:t>deferred</w:t>
            </w:r>
          </w:p>
        </w:tc>
        <w:tc>
          <w:tcPr>
            <w:tcW w:w="578" w:type="pct"/>
          </w:tcPr>
          <w:p w14:paraId="01DF9E15" w14:textId="20210AB9"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7AC03AC1" w14:textId="2EA52217"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3B9B07FC" w14:textId="10199FC1"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458E217E" w14:textId="421268F5"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A600B5" w:rsidRPr="007C48BA" w14:paraId="361B196F" w14:textId="77777777" w:rsidTr="00A600B5">
        <w:tc>
          <w:tcPr>
            <w:tcW w:w="300" w:type="pct"/>
          </w:tcPr>
          <w:p w14:paraId="55D24BAA" w14:textId="25896F40" w:rsidR="00A600B5" w:rsidRPr="007C48BA" w:rsidRDefault="00A600B5" w:rsidP="00A600B5">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EU-13a</w:t>
            </w:r>
          </w:p>
        </w:tc>
        <w:tc>
          <w:tcPr>
            <w:tcW w:w="432" w:type="pct"/>
            <w:vMerge/>
          </w:tcPr>
          <w:p w14:paraId="7FAD8AF3" w14:textId="77777777" w:rsidR="00A600B5" w:rsidRPr="007C48BA" w:rsidRDefault="00A600B5" w:rsidP="00A600B5">
            <w:pPr>
              <w:tabs>
                <w:tab w:val="left" w:pos="284"/>
                <w:tab w:val="left" w:pos="567"/>
              </w:tabs>
              <w:rPr>
                <w:rFonts w:asciiTheme="majorHAnsi" w:hAnsiTheme="majorHAnsi" w:cstheme="majorHAnsi"/>
                <w:sz w:val="18"/>
                <w:szCs w:val="18"/>
              </w:rPr>
            </w:pPr>
          </w:p>
        </w:tc>
        <w:tc>
          <w:tcPr>
            <w:tcW w:w="1956" w:type="pct"/>
          </w:tcPr>
          <w:p w14:paraId="3FB89672" w14:textId="46ABE838" w:rsidR="00A600B5" w:rsidRPr="00A600B5" w:rsidRDefault="00A600B5" w:rsidP="00A600B5">
            <w:pPr>
              <w:tabs>
                <w:tab w:val="left" w:pos="284"/>
                <w:tab w:val="left" w:pos="567"/>
              </w:tabs>
              <w:rPr>
                <w:rFonts w:asciiTheme="majorHAnsi" w:hAnsiTheme="majorHAnsi" w:cstheme="majorHAnsi"/>
                <w:sz w:val="18"/>
                <w:szCs w:val="18"/>
                <w:lang w:val="en-US"/>
              </w:rPr>
            </w:pPr>
            <w:r w:rsidRPr="00A600B5">
              <w:rPr>
                <w:rFonts w:asciiTheme="majorHAnsi" w:hAnsiTheme="majorHAnsi" w:cstheme="majorHAnsi"/>
                <w:sz w:val="18"/>
                <w:szCs w:val="18"/>
                <w:lang w:val="en-US"/>
              </w:rPr>
              <w:tab/>
              <w:t>Of which: shares or e</w:t>
            </w:r>
            <w:r>
              <w:rPr>
                <w:rFonts w:asciiTheme="majorHAnsi" w:hAnsiTheme="majorHAnsi" w:cstheme="majorHAnsi"/>
                <w:sz w:val="18"/>
                <w:szCs w:val="18"/>
                <w:lang w:val="en-US"/>
              </w:rPr>
              <w:t>quivalent ownership interests</w:t>
            </w:r>
          </w:p>
        </w:tc>
        <w:tc>
          <w:tcPr>
            <w:tcW w:w="578" w:type="pct"/>
          </w:tcPr>
          <w:p w14:paraId="27706B28" w14:textId="57516189"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1ECBABE9" w14:textId="68179923"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068EBCF9" w14:textId="6C5AC1C8"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2CF46032" w14:textId="70C90F56"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2FB4978A" w14:textId="77777777" w:rsidTr="00A600B5">
        <w:tc>
          <w:tcPr>
            <w:tcW w:w="300" w:type="pct"/>
          </w:tcPr>
          <w:p w14:paraId="48AB84CD" w14:textId="34F64E98"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EU-14a</w:t>
            </w:r>
          </w:p>
        </w:tc>
        <w:tc>
          <w:tcPr>
            <w:tcW w:w="432" w:type="pct"/>
            <w:vMerge/>
          </w:tcPr>
          <w:p w14:paraId="77127F44" w14:textId="77777777" w:rsidR="00C57F0F" w:rsidRPr="007C48BA" w:rsidRDefault="00C57F0F" w:rsidP="00C57F0F">
            <w:pPr>
              <w:tabs>
                <w:tab w:val="left" w:pos="284"/>
                <w:tab w:val="left" w:pos="567"/>
              </w:tabs>
              <w:rPr>
                <w:rFonts w:asciiTheme="majorHAnsi" w:hAnsiTheme="majorHAnsi" w:cstheme="majorHAnsi"/>
                <w:sz w:val="18"/>
                <w:szCs w:val="18"/>
              </w:rPr>
            </w:pPr>
          </w:p>
        </w:tc>
        <w:tc>
          <w:tcPr>
            <w:tcW w:w="1956" w:type="pct"/>
          </w:tcPr>
          <w:p w14:paraId="1BA948E5" w14:textId="173AF684"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sidR="00A600B5">
              <w:rPr>
                <w:rFonts w:asciiTheme="majorHAnsi" w:hAnsiTheme="majorHAnsi" w:cstheme="majorHAnsi"/>
                <w:sz w:val="18"/>
                <w:szCs w:val="18"/>
              </w:rPr>
              <w:t>Of which:</w:t>
            </w:r>
            <w:r w:rsidRPr="002B7154">
              <w:rPr>
                <w:rFonts w:asciiTheme="majorHAnsi" w:hAnsiTheme="majorHAnsi" w:cstheme="majorHAnsi"/>
                <w:sz w:val="18"/>
                <w:szCs w:val="18"/>
              </w:rPr>
              <w:t xml:space="preserve"> </w:t>
            </w:r>
            <w:r w:rsidR="00A600B5">
              <w:rPr>
                <w:rFonts w:asciiTheme="majorHAnsi" w:hAnsiTheme="majorHAnsi" w:cstheme="majorHAnsi"/>
                <w:sz w:val="18"/>
                <w:szCs w:val="18"/>
              </w:rPr>
              <w:t>deferred</w:t>
            </w:r>
            <w:r w:rsidRPr="002B7154">
              <w:rPr>
                <w:rFonts w:asciiTheme="majorHAnsi" w:hAnsiTheme="majorHAnsi" w:cstheme="majorHAnsi"/>
                <w:sz w:val="18"/>
                <w:szCs w:val="18"/>
              </w:rPr>
              <w:t xml:space="preserve"> </w:t>
            </w:r>
          </w:p>
        </w:tc>
        <w:tc>
          <w:tcPr>
            <w:tcW w:w="578" w:type="pct"/>
          </w:tcPr>
          <w:p w14:paraId="485E2FF7" w14:textId="6C5E55D8"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6062E81A" w14:textId="7A102631"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4D6F1153" w14:textId="58962733"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38F87BDD" w14:textId="136AC40B"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A600B5" w:rsidRPr="007C48BA" w14:paraId="0D9C79E2" w14:textId="77777777" w:rsidTr="00A600B5">
        <w:tc>
          <w:tcPr>
            <w:tcW w:w="300" w:type="pct"/>
          </w:tcPr>
          <w:p w14:paraId="3E266332" w14:textId="3CD609A4" w:rsidR="00A600B5" w:rsidRPr="007C48BA" w:rsidRDefault="00A600B5" w:rsidP="00A600B5">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EU-13b</w:t>
            </w:r>
          </w:p>
        </w:tc>
        <w:tc>
          <w:tcPr>
            <w:tcW w:w="432" w:type="pct"/>
            <w:vMerge/>
          </w:tcPr>
          <w:p w14:paraId="61B85BBD" w14:textId="77777777" w:rsidR="00A600B5" w:rsidRPr="007C48BA" w:rsidRDefault="00A600B5" w:rsidP="00A600B5">
            <w:pPr>
              <w:tabs>
                <w:tab w:val="left" w:pos="284"/>
                <w:tab w:val="left" w:pos="567"/>
              </w:tabs>
              <w:rPr>
                <w:rFonts w:asciiTheme="majorHAnsi" w:hAnsiTheme="majorHAnsi" w:cstheme="majorHAnsi"/>
                <w:sz w:val="18"/>
                <w:szCs w:val="18"/>
              </w:rPr>
            </w:pPr>
          </w:p>
        </w:tc>
        <w:tc>
          <w:tcPr>
            <w:tcW w:w="1956" w:type="pct"/>
          </w:tcPr>
          <w:p w14:paraId="78A4550C" w14:textId="2D80AA7D" w:rsidR="00A600B5" w:rsidRPr="00A600B5" w:rsidRDefault="00A600B5" w:rsidP="00A600B5">
            <w:pPr>
              <w:tabs>
                <w:tab w:val="left" w:pos="284"/>
                <w:tab w:val="left" w:pos="567"/>
              </w:tabs>
              <w:rPr>
                <w:rFonts w:asciiTheme="majorHAnsi" w:hAnsiTheme="majorHAnsi" w:cstheme="majorHAnsi"/>
                <w:sz w:val="18"/>
                <w:szCs w:val="18"/>
                <w:lang w:val="en-US"/>
              </w:rPr>
            </w:pPr>
            <w:r w:rsidRPr="00A600B5">
              <w:rPr>
                <w:rFonts w:asciiTheme="majorHAnsi" w:hAnsiTheme="majorHAnsi" w:cstheme="majorHAnsi"/>
                <w:sz w:val="18"/>
                <w:szCs w:val="18"/>
                <w:lang w:val="en-US"/>
              </w:rPr>
              <w:tab/>
              <w:t>Of which: share-linked i</w:t>
            </w:r>
            <w:r>
              <w:rPr>
                <w:rFonts w:asciiTheme="majorHAnsi" w:hAnsiTheme="majorHAnsi" w:cstheme="majorHAnsi"/>
                <w:sz w:val="18"/>
                <w:szCs w:val="18"/>
                <w:lang w:val="en-US"/>
              </w:rPr>
              <w:t>nstruments or equivalent non-cash instruments</w:t>
            </w:r>
          </w:p>
        </w:tc>
        <w:tc>
          <w:tcPr>
            <w:tcW w:w="578" w:type="pct"/>
          </w:tcPr>
          <w:p w14:paraId="535FA312" w14:textId="01EF9EC9"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16FFD12B" w14:textId="60AB2EC1"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6F081A1D" w14:textId="222D82A0"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24DEACEB" w14:textId="46F8FCCE"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10E0D4D2" w14:textId="77777777" w:rsidTr="00A600B5">
        <w:tc>
          <w:tcPr>
            <w:tcW w:w="300" w:type="pct"/>
          </w:tcPr>
          <w:p w14:paraId="46FC83A8" w14:textId="5CA83004"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EU-14b</w:t>
            </w:r>
          </w:p>
        </w:tc>
        <w:tc>
          <w:tcPr>
            <w:tcW w:w="432" w:type="pct"/>
            <w:vMerge/>
          </w:tcPr>
          <w:p w14:paraId="6053927B" w14:textId="77777777" w:rsidR="00C57F0F" w:rsidRPr="007C48BA" w:rsidRDefault="00C57F0F" w:rsidP="00C57F0F">
            <w:pPr>
              <w:tabs>
                <w:tab w:val="left" w:pos="284"/>
                <w:tab w:val="left" w:pos="567"/>
              </w:tabs>
              <w:rPr>
                <w:rFonts w:asciiTheme="majorHAnsi" w:hAnsiTheme="majorHAnsi" w:cstheme="majorHAnsi"/>
                <w:sz w:val="18"/>
                <w:szCs w:val="18"/>
              </w:rPr>
            </w:pPr>
          </w:p>
        </w:tc>
        <w:tc>
          <w:tcPr>
            <w:tcW w:w="1956" w:type="pct"/>
          </w:tcPr>
          <w:p w14:paraId="01275958" w14:textId="1B791012"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sidR="00A600B5">
              <w:rPr>
                <w:rFonts w:asciiTheme="majorHAnsi" w:hAnsiTheme="majorHAnsi" w:cstheme="majorHAnsi"/>
                <w:sz w:val="18"/>
                <w:szCs w:val="18"/>
              </w:rPr>
              <w:t>Of which:</w:t>
            </w:r>
            <w:r w:rsidRPr="002B7154">
              <w:rPr>
                <w:rFonts w:asciiTheme="majorHAnsi" w:hAnsiTheme="majorHAnsi" w:cstheme="majorHAnsi"/>
                <w:sz w:val="18"/>
                <w:szCs w:val="18"/>
              </w:rPr>
              <w:t xml:space="preserve"> </w:t>
            </w:r>
            <w:r w:rsidR="00A600B5">
              <w:rPr>
                <w:rFonts w:asciiTheme="majorHAnsi" w:hAnsiTheme="majorHAnsi" w:cstheme="majorHAnsi"/>
                <w:sz w:val="18"/>
                <w:szCs w:val="18"/>
              </w:rPr>
              <w:t>deferred</w:t>
            </w:r>
            <w:r w:rsidRPr="002B7154">
              <w:rPr>
                <w:rFonts w:asciiTheme="majorHAnsi" w:hAnsiTheme="majorHAnsi" w:cstheme="majorHAnsi"/>
                <w:sz w:val="18"/>
                <w:szCs w:val="18"/>
              </w:rPr>
              <w:t xml:space="preserve"> </w:t>
            </w:r>
          </w:p>
        </w:tc>
        <w:tc>
          <w:tcPr>
            <w:tcW w:w="578" w:type="pct"/>
          </w:tcPr>
          <w:p w14:paraId="5D9B4495" w14:textId="59074C04"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28A2EA23" w14:textId="07FC25D9"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0CFD1623" w14:textId="6F44BAFD"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6446F2E3" w14:textId="3AC66EDA"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A600B5" w:rsidRPr="007C48BA" w14:paraId="34C34D16" w14:textId="77777777" w:rsidTr="00A600B5">
        <w:tc>
          <w:tcPr>
            <w:tcW w:w="300" w:type="pct"/>
          </w:tcPr>
          <w:p w14:paraId="1C51346A" w14:textId="432CAF1A" w:rsidR="00A600B5" w:rsidRPr="007C48BA" w:rsidRDefault="00A600B5" w:rsidP="00A600B5">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EU-14x</w:t>
            </w:r>
          </w:p>
        </w:tc>
        <w:tc>
          <w:tcPr>
            <w:tcW w:w="432" w:type="pct"/>
            <w:vMerge/>
          </w:tcPr>
          <w:p w14:paraId="72547BDB" w14:textId="77777777" w:rsidR="00A600B5" w:rsidRPr="007C48BA" w:rsidRDefault="00A600B5" w:rsidP="00A600B5">
            <w:pPr>
              <w:tabs>
                <w:tab w:val="left" w:pos="284"/>
                <w:tab w:val="left" w:pos="567"/>
              </w:tabs>
              <w:rPr>
                <w:rFonts w:asciiTheme="majorHAnsi" w:hAnsiTheme="majorHAnsi" w:cstheme="majorHAnsi"/>
                <w:sz w:val="18"/>
                <w:szCs w:val="18"/>
              </w:rPr>
            </w:pPr>
          </w:p>
        </w:tc>
        <w:tc>
          <w:tcPr>
            <w:tcW w:w="1956" w:type="pct"/>
          </w:tcPr>
          <w:p w14:paraId="2E2066FD" w14:textId="6157482E" w:rsidR="00A600B5" w:rsidRPr="007C48BA" w:rsidRDefault="00A600B5" w:rsidP="00A600B5">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t>Of which:</w:t>
            </w:r>
            <w:r w:rsidRPr="004C2A84">
              <w:rPr>
                <w:rFonts w:asciiTheme="majorHAnsi" w:hAnsiTheme="majorHAnsi" w:cstheme="majorHAnsi"/>
                <w:sz w:val="18"/>
                <w:szCs w:val="18"/>
              </w:rPr>
              <w:t xml:space="preserve"> </w:t>
            </w:r>
            <w:r>
              <w:rPr>
                <w:rFonts w:asciiTheme="majorHAnsi" w:hAnsiTheme="majorHAnsi" w:cstheme="majorHAnsi"/>
                <w:sz w:val="18"/>
                <w:szCs w:val="18"/>
              </w:rPr>
              <w:t>other instruments</w:t>
            </w:r>
          </w:p>
        </w:tc>
        <w:tc>
          <w:tcPr>
            <w:tcW w:w="578" w:type="pct"/>
          </w:tcPr>
          <w:p w14:paraId="2C1BB714" w14:textId="69976D3F"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3E4B3276" w14:textId="7146F1BC"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65DBBB8C" w14:textId="49B4B00F"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39B6CC2A" w14:textId="33D3058B"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1B142074" w14:textId="77777777" w:rsidTr="00A600B5">
        <w:tc>
          <w:tcPr>
            <w:tcW w:w="300" w:type="pct"/>
          </w:tcPr>
          <w:p w14:paraId="43711910" w14:textId="6B2CD05F"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EU-14y</w:t>
            </w:r>
          </w:p>
        </w:tc>
        <w:tc>
          <w:tcPr>
            <w:tcW w:w="432" w:type="pct"/>
            <w:vMerge/>
          </w:tcPr>
          <w:p w14:paraId="64DB4D02" w14:textId="77777777" w:rsidR="00C57F0F" w:rsidRPr="007C48BA" w:rsidRDefault="00C57F0F" w:rsidP="00C57F0F">
            <w:pPr>
              <w:tabs>
                <w:tab w:val="left" w:pos="284"/>
                <w:tab w:val="left" w:pos="567"/>
              </w:tabs>
              <w:rPr>
                <w:rFonts w:asciiTheme="majorHAnsi" w:hAnsiTheme="majorHAnsi" w:cstheme="majorHAnsi"/>
                <w:sz w:val="18"/>
                <w:szCs w:val="18"/>
              </w:rPr>
            </w:pPr>
          </w:p>
        </w:tc>
        <w:tc>
          <w:tcPr>
            <w:tcW w:w="1956" w:type="pct"/>
          </w:tcPr>
          <w:p w14:paraId="4C262988" w14:textId="1B92EA08"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sidR="00A600B5">
              <w:rPr>
                <w:rFonts w:asciiTheme="majorHAnsi" w:hAnsiTheme="majorHAnsi" w:cstheme="majorHAnsi"/>
                <w:sz w:val="18"/>
                <w:szCs w:val="18"/>
              </w:rPr>
              <w:t>Of which:</w:t>
            </w:r>
            <w:r w:rsidRPr="002B7154">
              <w:rPr>
                <w:rFonts w:asciiTheme="majorHAnsi" w:hAnsiTheme="majorHAnsi" w:cstheme="majorHAnsi"/>
                <w:sz w:val="18"/>
                <w:szCs w:val="18"/>
              </w:rPr>
              <w:t xml:space="preserve"> </w:t>
            </w:r>
            <w:r w:rsidR="00A600B5">
              <w:rPr>
                <w:rFonts w:asciiTheme="majorHAnsi" w:hAnsiTheme="majorHAnsi" w:cstheme="majorHAnsi"/>
                <w:sz w:val="18"/>
                <w:szCs w:val="18"/>
              </w:rPr>
              <w:t>deferred</w:t>
            </w:r>
            <w:r w:rsidRPr="002B7154">
              <w:rPr>
                <w:rFonts w:asciiTheme="majorHAnsi" w:hAnsiTheme="majorHAnsi" w:cstheme="majorHAnsi"/>
                <w:sz w:val="18"/>
                <w:szCs w:val="18"/>
              </w:rPr>
              <w:t xml:space="preserve"> </w:t>
            </w:r>
          </w:p>
        </w:tc>
        <w:tc>
          <w:tcPr>
            <w:tcW w:w="578" w:type="pct"/>
          </w:tcPr>
          <w:p w14:paraId="6F141E25" w14:textId="41887405"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71D5662D" w14:textId="2AD7CB72"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22BDCC8D" w14:textId="33A48FE9"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665D0EF8" w14:textId="4B3199A9"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A600B5" w:rsidRPr="007C48BA" w14:paraId="2EDAAB84" w14:textId="77777777" w:rsidTr="00A600B5">
        <w:tc>
          <w:tcPr>
            <w:tcW w:w="300" w:type="pct"/>
          </w:tcPr>
          <w:p w14:paraId="6E2DCC3E" w14:textId="0307D601" w:rsidR="00A600B5" w:rsidRPr="007C48BA" w:rsidRDefault="00A600B5" w:rsidP="00A600B5">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15</w:t>
            </w:r>
          </w:p>
        </w:tc>
        <w:tc>
          <w:tcPr>
            <w:tcW w:w="432" w:type="pct"/>
            <w:vMerge/>
          </w:tcPr>
          <w:p w14:paraId="6E015903" w14:textId="77777777" w:rsidR="00A600B5" w:rsidRPr="007C48BA" w:rsidRDefault="00A600B5" w:rsidP="00A600B5">
            <w:pPr>
              <w:tabs>
                <w:tab w:val="left" w:pos="284"/>
                <w:tab w:val="left" w:pos="567"/>
              </w:tabs>
              <w:rPr>
                <w:rFonts w:asciiTheme="majorHAnsi" w:hAnsiTheme="majorHAnsi" w:cstheme="majorHAnsi"/>
                <w:sz w:val="18"/>
                <w:szCs w:val="18"/>
              </w:rPr>
            </w:pPr>
          </w:p>
        </w:tc>
        <w:tc>
          <w:tcPr>
            <w:tcW w:w="1956" w:type="pct"/>
          </w:tcPr>
          <w:p w14:paraId="44C0B6E9" w14:textId="6D2B9680" w:rsidR="00A600B5" w:rsidRPr="007C48BA" w:rsidRDefault="00A600B5" w:rsidP="00A600B5">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t>Of which:</w:t>
            </w:r>
            <w:r w:rsidRPr="004C2A84">
              <w:rPr>
                <w:rFonts w:asciiTheme="majorHAnsi" w:hAnsiTheme="majorHAnsi" w:cstheme="majorHAnsi"/>
                <w:sz w:val="18"/>
                <w:szCs w:val="18"/>
              </w:rPr>
              <w:t xml:space="preserve"> </w:t>
            </w:r>
            <w:r>
              <w:rPr>
                <w:rFonts w:asciiTheme="majorHAnsi" w:hAnsiTheme="majorHAnsi" w:cstheme="majorHAnsi"/>
                <w:sz w:val="18"/>
                <w:szCs w:val="18"/>
              </w:rPr>
              <w:t>other forms</w:t>
            </w:r>
          </w:p>
        </w:tc>
        <w:tc>
          <w:tcPr>
            <w:tcW w:w="578" w:type="pct"/>
          </w:tcPr>
          <w:p w14:paraId="3035D4FF" w14:textId="48E0D531"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1C391800" w14:textId="745F88BF"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555A77EA" w14:textId="100E0053"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0AB72387" w14:textId="042F2A3A" w:rsidR="00A600B5" w:rsidRPr="007C48BA" w:rsidRDefault="00A600B5" w:rsidP="00A600B5">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C57F0F" w:rsidRPr="007C48BA" w14:paraId="0218E65B" w14:textId="77777777" w:rsidTr="00A600B5">
        <w:tc>
          <w:tcPr>
            <w:tcW w:w="300" w:type="pct"/>
          </w:tcPr>
          <w:p w14:paraId="45ADB029" w14:textId="5EA98C86" w:rsidR="00C57F0F" w:rsidRPr="007C48BA" w:rsidRDefault="00C57F0F" w:rsidP="00C57F0F">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16</w:t>
            </w:r>
          </w:p>
        </w:tc>
        <w:tc>
          <w:tcPr>
            <w:tcW w:w="432" w:type="pct"/>
            <w:vMerge/>
          </w:tcPr>
          <w:p w14:paraId="334BF567" w14:textId="77777777" w:rsidR="00C57F0F" w:rsidRPr="007C48BA" w:rsidRDefault="00C57F0F" w:rsidP="00C57F0F">
            <w:pPr>
              <w:tabs>
                <w:tab w:val="left" w:pos="284"/>
                <w:tab w:val="left" w:pos="567"/>
              </w:tabs>
              <w:rPr>
                <w:rFonts w:asciiTheme="majorHAnsi" w:hAnsiTheme="majorHAnsi" w:cstheme="majorHAnsi"/>
                <w:sz w:val="18"/>
                <w:szCs w:val="18"/>
              </w:rPr>
            </w:pPr>
          </w:p>
        </w:tc>
        <w:tc>
          <w:tcPr>
            <w:tcW w:w="1956" w:type="pct"/>
          </w:tcPr>
          <w:p w14:paraId="04124876" w14:textId="36A93843" w:rsidR="00C57F0F" w:rsidRPr="007C48BA" w:rsidRDefault="00C57F0F" w:rsidP="00C57F0F">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sidR="00A600B5">
              <w:rPr>
                <w:rFonts w:asciiTheme="majorHAnsi" w:hAnsiTheme="majorHAnsi" w:cstheme="majorHAnsi"/>
                <w:sz w:val="18"/>
                <w:szCs w:val="18"/>
              </w:rPr>
              <w:t>Of which:</w:t>
            </w:r>
            <w:r w:rsidRPr="002B7154">
              <w:rPr>
                <w:rFonts w:asciiTheme="majorHAnsi" w:hAnsiTheme="majorHAnsi" w:cstheme="majorHAnsi"/>
                <w:sz w:val="18"/>
                <w:szCs w:val="18"/>
              </w:rPr>
              <w:t xml:space="preserve"> </w:t>
            </w:r>
            <w:r w:rsidR="00A600B5">
              <w:rPr>
                <w:rFonts w:asciiTheme="majorHAnsi" w:hAnsiTheme="majorHAnsi" w:cstheme="majorHAnsi"/>
                <w:sz w:val="18"/>
                <w:szCs w:val="18"/>
              </w:rPr>
              <w:t>deferred</w:t>
            </w:r>
            <w:r w:rsidRPr="002B7154">
              <w:rPr>
                <w:rFonts w:asciiTheme="majorHAnsi" w:hAnsiTheme="majorHAnsi" w:cstheme="majorHAnsi"/>
                <w:sz w:val="18"/>
                <w:szCs w:val="18"/>
              </w:rPr>
              <w:t xml:space="preserve"> </w:t>
            </w:r>
          </w:p>
        </w:tc>
        <w:tc>
          <w:tcPr>
            <w:tcW w:w="578" w:type="pct"/>
          </w:tcPr>
          <w:p w14:paraId="4C729AC0" w14:textId="20739DC8"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63A7A751" w14:textId="0E78C9AA"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8" w:type="pct"/>
          </w:tcPr>
          <w:p w14:paraId="31CABA06" w14:textId="4ADD4796"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c>
          <w:tcPr>
            <w:tcW w:w="577" w:type="pct"/>
          </w:tcPr>
          <w:p w14:paraId="494F4BB9" w14:textId="2610349D" w:rsidR="00C57F0F" w:rsidRPr="007C48BA" w:rsidRDefault="00C57F0F" w:rsidP="00C57F0F">
            <w:pPr>
              <w:tabs>
                <w:tab w:val="left" w:pos="284"/>
                <w:tab w:val="left" w:pos="567"/>
              </w:tabs>
              <w:jc w:val="right"/>
              <w:rPr>
                <w:rFonts w:asciiTheme="majorHAnsi" w:hAnsiTheme="majorHAnsi" w:cstheme="majorHAnsi"/>
                <w:sz w:val="18"/>
                <w:szCs w:val="18"/>
              </w:rPr>
            </w:pPr>
            <w:r w:rsidRPr="007E4A87">
              <w:rPr>
                <w:rFonts w:asciiTheme="majorHAnsi" w:hAnsiTheme="majorHAnsi" w:cstheme="majorHAnsi"/>
                <w:sz w:val="18"/>
                <w:szCs w:val="18"/>
              </w:rPr>
              <w:t>-</w:t>
            </w:r>
          </w:p>
        </w:tc>
      </w:tr>
      <w:tr w:rsidR="007C48BA" w:rsidRPr="007C48BA" w14:paraId="2479E4E6" w14:textId="77777777" w:rsidTr="00A600B5">
        <w:tc>
          <w:tcPr>
            <w:tcW w:w="300" w:type="pct"/>
          </w:tcPr>
          <w:p w14:paraId="15F2A6A5" w14:textId="0B7DB83B" w:rsidR="007C48BA" w:rsidRPr="007C48BA" w:rsidRDefault="007C48BA" w:rsidP="007C48BA">
            <w:pPr>
              <w:tabs>
                <w:tab w:val="left" w:pos="284"/>
                <w:tab w:val="left" w:pos="567"/>
              </w:tabs>
              <w:rPr>
                <w:rFonts w:asciiTheme="majorHAnsi" w:hAnsiTheme="majorHAnsi" w:cstheme="majorHAnsi"/>
                <w:sz w:val="18"/>
                <w:szCs w:val="18"/>
              </w:rPr>
            </w:pPr>
            <w:r w:rsidRPr="007C48BA">
              <w:rPr>
                <w:rFonts w:asciiTheme="majorHAnsi" w:hAnsiTheme="majorHAnsi" w:cstheme="majorHAnsi"/>
                <w:sz w:val="18"/>
                <w:szCs w:val="18"/>
              </w:rPr>
              <w:t>17</w:t>
            </w:r>
          </w:p>
        </w:tc>
        <w:tc>
          <w:tcPr>
            <w:tcW w:w="2388" w:type="pct"/>
            <w:gridSpan w:val="2"/>
          </w:tcPr>
          <w:p w14:paraId="423A6F6B" w14:textId="433E77C5" w:rsidR="007C48BA" w:rsidRPr="007C48BA" w:rsidRDefault="00A600B5" w:rsidP="007C48BA">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Total remuneration</w:t>
            </w:r>
            <w:r w:rsidR="007C48BA">
              <w:rPr>
                <w:rFonts w:asciiTheme="majorHAnsi" w:hAnsiTheme="majorHAnsi" w:cstheme="majorHAnsi"/>
                <w:sz w:val="18"/>
                <w:szCs w:val="18"/>
              </w:rPr>
              <w:t xml:space="preserve"> (2+10)</w:t>
            </w:r>
          </w:p>
        </w:tc>
        <w:tc>
          <w:tcPr>
            <w:tcW w:w="578" w:type="pct"/>
          </w:tcPr>
          <w:p w14:paraId="56D140CC" w14:textId="7DD7B111"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2</w:t>
            </w:r>
            <w:r w:rsidR="001038A1">
              <w:rPr>
                <w:rFonts w:asciiTheme="majorHAnsi" w:hAnsiTheme="majorHAnsi" w:cstheme="majorHAnsi"/>
                <w:sz w:val="18"/>
                <w:szCs w:val="18"/>
              </w:rPr>
              <w:t>,</w:t>
            </w:r>
            <w:r>
              <w:rPr>
                <w:rFonts w:asciiTheme="majorHAnsi" w:hAnsiTheme="majorHAnsi" w:cstheme="majorHAnsi"/>
                <w:sz w:val="18"/>
                <w:szCs w:val="18"/>
              </w:rPr>
              <w:t xml:space="preserve">465 </w:t>
            </w:r>
          </w:p>
        </w:tc>
        <w:tc>
          <w:tcPr>
            <w:tcW w:w="578" w:type="pct"/>
          </w:tcPr>
          <w:p w14:paraId="34AFC5A6" w14:textId="0CE94476" w:rsidR="007C48BA" w:rsidRPr="007C48BA" w:rsidRDefault="00B450B7"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1,300</w:t>
            </w:r>
            <w:r w:rsidR="00C57F0F">
              <w:rPr>
                <w:rFonts w:asciiTheme="majorHAnsi" w:hAnsiTheme="majorHAnsi" w:cstheme="majorHAnsi"/>
                <w:sz w:val="18"/>
                <w:szCs w:val="18"/>
              </w:rPr>
              <w:t xml:space="preserve"> </w:t>
            </w:r>
          </w:p>
        </w:tc>
        <w:tc>
          <w:tcPr>
            <w:tcW w:w="578" w:type="pct"/>
          </w:tcPr>
          <w:p w14:paraId="563E4E97" w14:textId="18A085B9"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16</w:t>
            </w:r>
            <w:r w:rsidR="001038A1">
              <w:rPr>
                <w:rFonts w:asciiTheme="majorHAnsi" w:hAnsiTheme="majorHAnsi" w:cstheme="majorHAnsi"/>
                <w:sz w:val="18"/>
                <w:szCs w:val="18"/>
              </w:rPr>
              <w:t>,</w:t>
            </w:r>
            <w:r>
              <w:rPr>
                <w:rFonts w:asciiTheme="majorHAnsi" w:hAnsiTheme="majorHAnsi" w:cstheme="majorHAnsi"/>
                <w:sz w:val="18"/>
                <w:szCs w:val="18"/>
              </w:rPr>
              <w:t xml:space="preserve">900 </w:t>
            </w:r>
          </w:p>
        </w:tc>
        <w:tc>
          <w:tcPr>
            <w:tcW w:w="577" w:type="pct"/>
          </w:tcPr>
          <w:p w14:paraId="2F59D62A" w14:textId="0E7BF8B4" w:rsidR="007C48BA" w:rsidRPr="007C48BA" w:rsidRDefault="00C57F0F" w:rsidP="00C57F0F">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12</w:t>
            </w:r>
            <w:r w:rsidR="001038A1">
              <w:rPr>
                <w:rFonts w:asciiTheme="majorHAnsi" w:hAnsiTheme="majorHAnsi" w:cstheme="majorHAnsi"/>
                <w:sz w:val="18"/>
                <w:szCs w:val="18"/>
              </w:rPr>
              <w:t>,</w:t>
            </w:r>
            <w:r>
              <w:rPr>
                <w:rFonts w:asciiTheme="majorHAnsi" w:hAnsiTheme="majorHAnsi" w:cstheme="majorHAnsi"/>
                <w:sz w:val="18"/>
                <w:szCs w:val="18"/>
              </w:rPr>
              <w:t xml:space="preserve">506 </w:t>
            </w:r>
          </w:p>
        </w:tc>
      </w:tr>
    </w:tbl>
    <w:p w14:paraId="2C594226" w14:textId="77777777" w:rsidR="00044502" w:rsidRDefault="00044502">
      <w:pPr>
        <w:rPr>
          <w:rFonts w:asciiTheme="majorHAnsi" w:eastAsiaTheme="majorEastAsia" w:hAnsiTheme="majorHAnsi" w:cstheme="majorBidi"/>
          <w:b/>
          <w:bCs/>
          <w:i/>
          <w:iCs/>
          <w:color w:val="000000" w:themeColor="text1"/>
          <w:szCs w:val="20"/>
        </w:rPr>
      </w:pPr>
      <w:r>
        <w:br w:type="page"/>
      </w:r>
    </w:p>
    <w:p w14:paraId="5FD00044" w14:textId="118FD3A5" w:rsidR="00BC7E17" w:rsidRPr="001038A1" w:rsidRDefault="001038A1" w:rsidP="002E1650">
      <w:pPr>
        <w:pStyle w:val="Heading4"/>
        <w:ind w:left="0" w:firstLine="0"/>
        <w:rPr>
          <w:lang w:val="en-US"/>
        </w:rPr>
      </w:pPr>
      <w:r w:rsidRPr="001038A1">
        <w:rPr>
          <w:lang w:val="en-US"/>
        </w:rPr>
        <w:lastRenderedPageBreak/>
        <w:t>Template EU REM2 – Special payments to staff whose professional activities have a significant impact on the company’s risk profile (identified personnel)</w:t>
      </w:r>
    </w:p>
    <w:tbl>
      <w:tblPr>
        <w:tblStyle w:val="TableGrid"/>
        <w:tblW w:w="5000" w:type="pct"/>
        <w:tblLook w:val="04A0" w:firstRow="1" w:lastRow="0" w:firstColumn="1" w:lastColumn="0" w:noHBand="0" w:noVBand="1"/>
      </w:tblPr>
      <w:tblGrid>
        <w:gridCol w:w="419"/>
        <w:gridCol w:w="7315"/>
        <w:gridCol w:w="1565"/>
        <w:gridCol w:w="1565"/>
        <w:gridCol w:w="1565"/>
        <w:gridCol w:w="1565"/>
      </w:tblGrid>
      <w:tr w:rsidR="001038A1" w:rsidRPr="00044502" w14:paraId="068BA02B" w14:textId="77777777" w:rsidTr="00044502">
        <w:tc>
          <w:tcPr>
            <w:tcW w:w="150" w:type="pct"/>
            <w:shd w:val="clear" w:color="auto" w:fill="AEAAAA" w:themeFill="background2" w:themeFillShade="BF"/>
          </w:tcPr>
          <w:p w14:paraId="57EECCEA" w14:textId="77777777" w:rsidR="001038A1" w:rsidRPr="001038A1" w:rsidRDefault="001038A1" w:rsidP="001038A1">
            <w:pPr>
              <w:tabs>
                <w:tab w:val="left" w:pos="284"/>
                <w:tab w:val="left" w:pos="567"/>
              </w:tabs>
              <w:jc w:val="center"/>
              <w:rPr>
                <w:rFonts w:asciiTheme="majorHAnsi" w:hAnsiTheme="majorHAnsi" w:cstheme="majorHAnsi"/>
                <w:b/>
                <w:bCs/>
                <w:sz w:val="18"/>
                <w:szCs w:val="18"/>
                <w:lang w:val="en-US"/>
              </w:rPr>
            </w:pPr>
          </w:p>
        </w:tc>
        <w:tc>
          <w:tcPr>
            <w:tcW w:w="2614" w:type="pct"/>
            <w:shd w:val="clear" w:color="auto" w:fill="AEAAAA" w:themeFill="background2" w:themeFillShade="BF"/>
          </w:tcPr>
          <w:p w14:paraId="27D8118D" w14:textId="77777777" w:rsidR="001038A1" w:rsidRPr="001038A1" w:rsidRDefault="001038A1" w:rsidP="001038A1">
            <w:pPr>
              <w:tabs>
                <w:tab w:val="left" w:pos="284"/>
                <w:tab w:val="left" w:pos="567"/>
              </w:tabs>
              <w:jc w:val="center"/>
              <w:rPr>
                <w:rFonts w:asciiTheme="majorHAnsi" w:hAnsiTheme="majorHAnsi" w:cstheme="majorHAnsi"/>
                <w:b/>
                <w:bCs/>
                <w:sz w:val="18"/>
                <w:szCs w:val="18"/>
                <w:lang w:val="en-US"/>
              </w:rPr>
            </w:pPr>
          </w:p>
        </w:tc>
        <w:tc>
          <w:tcPr>
            <w:tcW w:w="559" w:type="pct"/>
            <w:shd w:val="clear" w:color="auto" w:fill="AEAAAA" w:themeFill="background2" w:themeFillShade="BF"/>
          </w:tcPr>
          <w:p w14:paraId="27261B2D" w14:textId="0FEBC6D0" w:rsidR="001038A1" w:rsidRPr="001038A1" w:rsidRDefault="001038A1" w:rsidP="001038A1">
            <w:pPr>
              <w:tabs>
                <w:tab w:val="left" w:pos="284"/>
                <w:tab w:val="left" w:pos="567"/>
              </w:tabs>
              <w:jc w:val="center"/>
              <w:rPr>
                <w:rFonts w:asciiTheme="majorHAnsi" w:hAnsiTheme="majorHAnsi" w:cstheme="majorHAnsi"/>
                <w:b/>
                <w:bCs/>
                <w:sz w:val="18"/>
                <w:szCs w:val="18"/>
                <w:lang w:val="en-US"/>
              </w:rPr>
            </w:pPr>
            <w:r w:rsidRPr="00A600B5">
              <w:rPr>
                <w:rFonts w:asciiTheme="majorHAnsi" w:hAnsiTheme="majorHAnsi" w:cstheme="majorHAnsi"/>
                <w:b/>
                <w:bCs/>
                <w:sz w:val="18"/>
                <w:szCs w:val="18"/>
                <w:lang w:val="en-US"/>
              </w:rPr>
              <w:t>MB supervisory function (Board o</w:t>
            </w:r>
            <w:r>
              <w:rPr>
                <w:rFonts w:asciiTheme="majorHAnsi" w:hAnsiTheme="majorHAnsi" w:cstheme="majorHAnsi"/>
                <w:b/>
                <w:bCs/>
                <w:sz w:val="18"/>
                <w:szCs w:val="18"/>
                <w:lang w:val="en-US"/>
              </w:rPr>
              <w:t>f Directors)</w:t>
            </w:r>
          </w:p>
        </w:tc>
        <w:tc>
          <w:tcPr>
            <w:tcW w:w="559" w:type="pct"/>
            <w:shd w:val="clear" w:color="auto" w:fill="AEAAAA" w:themeFill="background2" w:themeFillShade="BF"/>
          </w:tcPr>
          <w:p w14:paraId="7BED55BA" w14:textId="49B23B4D" w:rsidR="001038A1" w:rsidRPr="001038A1" w:rsidRDefault="001038A1" w:rsidP="001038A1">
            <w:pPr>
              <w:tabs>
                <w:tab w:val="left" w:pos="284"/>
                <w:tab w:val="left" w:pos="567"/>
              </w:tabs>
              <w:jc w:val="center"/>
              <w:rPr>
                <w:rFonts w:asciiTheme="majorHAnsi" w:hAnsiTheme="majorHAnsi" w:cstheme="majorHAnsi"/>
                <w:b/>
                <w:bCs/>
                <w:sz w:val="18"/>
                <w:szCs w:val="18"/>
                <w:lang w:val="en-US"/>
              </w:rPr>
            </w:pPr>
            <w:r w:rsidRPr="00A600B5">
              <w:rPr>
                <w:rFonts w:asciiTheme="majorHAnsi" w:hAnsiTheme="majorHAnsi" w:cstheme="majorHAnsi"/>
                <w:b/>
                <w:bCs/>
                <w:sz w:val="18"/>
                <w:szCs w:val="18"/>
                <w:lang w:val="en-US"/>
              </w:rPr>
              <w:t>MB management function (Chief E</w:t>
            </w:r>
            <w:r>
              <w:rPr>
                <w:rFonts w:asciiTheme="majorHAnsi" w:hAnsiTheme="majorHAnsi" w:cstheme="majorHAnsi"/>
                <w:b/>
                <w:bCs/>
                <w:sz w:val="18"/>
                <w:szCs w:val="18"/>
                <w:lang w:val="en-US"/>
              </w:rPr>
              <w:t>xecutive Officer)</w:t>
            </w:r>
          </w:p>
        </w:tc>
        <w:tc>
          <w:tcPr>
            <w:tcW w:w="559" w:type="pct"/>
            <w:shd w:val="clear" w:color="auto" w:fill="AEAAAA" w:themeFill="background2" w:themeFillShade="BF"/>
          </w:tcPr>
          <w:p w14:paraId="5AFEAC3E" w14:textId="0C416452" w:rsidR="001038A1" w:rsidRPr="00044502" w:rsidRDefault="001038A1" w:rsidP="001038A1">
            <w:pPr>
              <w:tabs>
                <w:tab w:val="left" w:pos="284"/>
                <w:tab w:val="left" w:pos="567"/>
              </w:tabs>
              <w:jc w:val="center"/>
              <w:rPr>
                <w:rFonts w:asciiTheme="majorHAnsi" w:hAnsiTheme="majorHAnsi" w:cstheme="majorHAnsi"/>
                <w:b/>
                <w:bCs/>
                <w:sz w:val="18"/>
                <w:szCs w:val="18"/>
              </w:rPr>
            </w:pPr>
            <w:r>
              <w:rPr>
                <w:rFonts w:asciiTheme="majorHAnsi" w:hAnsiTheme="majorHAnsi" w:cstheme="majorHAnsi"/>
                <w:b/>
                <w:bCs/>
                <w:sz w:val="18"/>
                <w:szCs w:val="18"/>
              </w:rPr>
              <w:t>Other senior management</w:t>
            </w:r>
          </w:p>
        </w:tc>
        <w:tc>
          <w:tcPr>
            <w:tcW w:w="559" w:type="pct"/>
            <w:shd w:val="clear" w:color="auto" w:fill="AEAAAA" w:themeFill="background2" w:themeFillShade="BF"/>
          </w:tcPr>
          <w:p w14:paraId="7722A11C" w14:textId="2ACD7069" w:rsidR="001038A1" w:rsidRPr="00044502" w:rsidRDefault="001038A1" w:rsidP="001038A1">
            <w:pPr>
              <w:tabs>
                <w:tab w:val="left" w:pos="284"/>
                <w:tab w:val="left" w:pos="567"/>
              </w:tabs>
              <w:jc w:val="center"/>
              <w:rPr>
                <w:rFonts w:asciiTheme="majorHAnsi" w:hAnsiTheme="majorHAnsi" w:cstheme="majorHAnsi"/>
                <w:b/>
                <w:bCs/>
                <w:sz w:val="18"/>
                <w:szCs w:val="18"/>
              </w:rPr>
            </w:pPr>
            <w:r>
              <w:rPr>
                <w:rFonts w:asciiTheme="majorHAnsi" w:hAnsiTheme="majorHAnsi" w:cstheme="majorHAnsi"/>
                <w:b/>
                <w:bCs/>
                <w:sz w:val="18"/>
                <w:szCs w:val="18"/>
              </w:rPr>
              <w:t>Other identified staff</w:t>
            </w:r>
          </w:p>
        </w:tc>
      </w:tr>
      <w:tr w:rsidR="00044502" w:rsidRPr="00044502" w14:paraId="2E92D6D7" w14:textId="77777777" w:rsidTr="00044502">
        <w:tc>
          <w:tcPr>
            <w:tcW w:w="2763" w:type="pct"/>
            <w:gridSpan w:val="2"/>
          </w:tcPr>
          <w:p w14:paraId="06870F51" w14:textId="77299D91" w:rsidR="00044502" w:rsidRPr="00044502" w:rsidRDefault="001038A1" w:rsidP="00C2489F">
            <w:pPr>
              <w:tabs>
                <w:tab w:val="left" w:pos="284"/>
                <w:tab w:val="left" w:pos="567"/>
              </w:tabs>
              <w:rPr>
                <w:rFonts w:asciiTheme="majorHAnsi" w:hAnsiTheme="majorHAnsi" w:cstheme="majorHAnsi"/>
                <w:b/>
                <w:bCs/>
                <w:i/>
                <w:iCs/>
                <w:sz w:val="18"/>
                <w:szCs w:val="18"/>
              </w:rPr>
            </w:pPr>
            <w:r>
              <w:rPr>
                <w:rFonts w:asciiTheme="majorHAnsi" w:hAnsiTheme="majorHAnsi" w:cstheme="majorHAnsi"/>
                <w:b/>
                <w:bCs/>
                <w:i/>
                <w:iCs/>
                <w:sz w:val="18"/>
                <w:szCs w:val="18"/>
              </w:rPr>
              <w:t>Guaranteed variable remuneration awards</w:t>
            </w:r>
          </w:p>
        </w:tc>
        <w:tc>
          <w:tcPr>
            <w:tcW w:w="559" w:type="pct"/>
          </w:tcPr>
          <w:p w14:paraId="0663542C" w14:textId="77777777" w:rsidR="00044502" w:rsidRPr="00044502" w:rsidRDefault="00044502" w:rsidP="00B503ED">
            <w:pPr>
              <w:tabs>
                <w:tab w:val="left" w:pos="284"/>
                <w:tab w:val="left" w:pos="567"/>
              </w:tabs>
              <w:jc w:val="right"/>
              <w:rPr>
                <w:rFonts w:asciiTheme="majorHAnsi" w:hAnsiTheme="majorHAnsi" w:cstheme="majorHAnsi"/>
                <w:sz w:val="18"/>
                <w:szCs w:val="18"/>
              </w:rPr>
            </w:pPr>
          </w:p>
        </w:tc>
        <w:tc>
          <w:tcPr>
            <w:tcW w:w="559" w:type="pct"/>
          </w:tcPr>
          <w:p w14:paraId="2BA0C2E0" w14:textId="77777777" w:rsidR="00044502" w:rsidRPr="00044502" w:rsidRDefault="00044502" w:rsidP="00B503ED">
            <w:pPr>
              <w:tabs>
                <w:tab w:val="left" w:pos="284"/>
                <w:tab w:val="left" w:pos="567"/>
              </w:tabs>
              <w:jc w:val="right"/>
              <w:rPr>
                <w:rFonts w:asciiTheme="majorHAnsi" w:hAnsiTheme="majorHAnsi" w:cstheme="majorHAnsi"/>
                <w:sz w:val="18"/>
                <w:szCs w:val="18"/>
              </w:rPr>
            </w:pPr>
          </w:p>
        </w:tc>
        <w:tc>
          <w:tcPr>
            <w:tcW w:w="559" w:type="pct"/>
          </w:tcPr>
          <w:p w14:paraId="5160C944" w14:textId="77777777" w:rsidR="00044502" w:rsidRPr="00044502" w:rsidRDefault="00044502" w:rsidP="00B503ED">
            <w:pPr>
              <w:tabs>
                <w:tab w:val="left" w:pos="284"/>
                <w:tab w:val="left" w:pos="567"/>
              </w:tabs>
              <w:jc w:val="right"/>
              <w:rPr>
                <w:rFonts w:asciiTheme="majorHAnsi" w:hAnsiTheme="majorHAnsi" w:cstheme="majorHAnsi"/>
                <w:sz w:val="18"/>
                <w:szCs w:val="18"/>
              </w:rPr>
            </w:pPr>
          </w:p>
        </w:tc>
        <w:tc>
          <w:tcPr>
            <w:tcW w:w="559" w:type="pct"/>
          </w:tcPr>
          <w:p w14:paraId="091610E5" w14:textId="77777777" w:rsidR="00044502" w:rsidRPr="00044502" w:rsidRDefault="00044502" w:rsidP="00B503ED">
            <w:pPr>
              <w:tabs>
                <w:tab w:val="left" w:pos="284"/>
                <w:tab w:val="left" w:pos="567"/>
              </w:tabs>
              <w:jc w:val="right"/>
              <w:rPr>
                <w:rFonts w:asciiTheme="majorHAnsi" w:hAnsiTheme="majorHAnsi" w:cstheme="majorHAnsi"/>
                <w:sz w:val="18"/>
                <w:szCs w:val="18"/>
              </w:rPr>
            </w:pPr>
          </w:p>
        </w:tc>
      </w:tr>
      <w:tr w:rsidR="00B503ED" w:rsidRPr="00044502" w14:paraId="71151DDD" w14:textId="77777777" w:rsidTr="00044502">
        <w:tc>
          <w:tcPr>
            <w:tcW w:w="150" w:type="pct"/>
          </w:tcPr>
          <w:p w14:paraId="5248D20B" w14:textId="3BDBB6EC"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1</w:t>
            </w:r>
          </w:p>
        </w:tc>
        <w:tc>
          <w:tcPr>
            <w:tcW w:w="2614" w:type="pct"/>
          </w:tcPr>
          <w:p w14:paraId="21C710D3" w14:textId="4D810FD7" w:rsidR="00B503ED" w:rsidRPr="00044502" w:rsidRDefault="001038A1" w:rsidP="00B503ED">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Number of identified staff</w:t>
            </w:r>
          </w:p>
        </w:tc>
        <w:tc>
          <w:tcPr>
            <w:tcW w:w="559" w:type="pct"/>
          </w:tcPr>
          <w:p w14:paraId="6CDD2100" w14:textId="3D0EB4DB"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7A47FF99" w14:textId="7C128684"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37258180" w14:textId="6EBA8BE4"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34E5DB26" w14:textId="3A42097A"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2BD817A8" w14:textId="77777777" w:rsidTr="00044502">
        <w:tc>
          <w:tcPr>
            <w:tcW w:w="150" w:type="pct"/>
          </w:tcPr>
          <w:p w14:paraId="5227980D" w14:textId="77054EE7"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2</w:t>
            </w:r>
          </w:p>
        </w:tc>
        <w:tc>
          <w:tcPr>
            <w:tcW w:w="2614" w:type="pct"/>
          </w:tcPr>
          <w:p w14:paraId="483B016A" w14:textId="216F85A2" w:rsidR="00B503ED" w:rsidRPr="00044502" w:rsidRDefault="001038A1" w:rsidP="00B503ED">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Total amount</w:t>
            </w:r>
          </w:p>
        </w:tc>
        <w:tc>
          <w:tcPr>
            <w:tcW w:w="559" w:type="pct"/>
          </w:tcPr>
          <w:p w14:paraId="1AB2092A" w14:textId="783D1C35"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3B1658F0" w14:textId="6DBF7B2C"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635ED05E" w14:textId="0595AA5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476C968A" w14:textId="12725DCC"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7625764E" w14:textId="77777777" w:rsidTr="00044502">
        <w:tc>
          <w:tcPr>
            <w:tcW w:w="150" w:type="pct"/>
          </w:tcPr>
          <w:p w14:paraId="1C10549C" w14:textId="21B0E596"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3</w:t>
            </w:r>
          </w:p>
        </w:tc>
        <w:tc>
          <w:tcPr>
            <w:tcW w:w="2614" w:type="pct"/>
          </w:tcPr>
          <w:p w14:paraId="18A4D152" w14:textId="43429D7D" w:rsidR="00B503ED" w:rsidRPr="001038A1" w:rsidRDefault="00B503ED" w:rsidP="00B503ED">
            <w:pPr>
              <w:tabs>
                <w:tab w:val="left" w:pos="284"/>
                <w:tab w:val="left" w:pos="567"/>
              </w:tabs>
              <w:rPr>
                <w:rFonts w:asciiTheme="majorHAnsi" w:hAnsiTheme="majorHAnsi" w:cstheme="majorHAnsi"/>
                <w:sz w:val="18"/>
                <w:szCs w:val="18"/>
                <w:lang w:val="en-US"/>
              </w:rPr>
            </w:pPr>
            <w:r w:rsidRPr="00044502">
              <w:rPr>
                <w:rFonts w:asciiTheme="majorHAnsi" w:hAnsiTheme="majorHAnsi" w:cstheme="majorHAnsi"/>
                <w:sz w:val="18"/>
                <w:szCs w:val="18"/>
              </w:rPr>
              <w:tab/>
            </w:r>
            <w:r w:rsidR="00A600B5" w:rsidRPr="001038A1">
              <w:rPr>
                <w:rFonts w:asciiTheme="majorHAnsi" w:hAnsiTheme="majorHAnsi" w:cstheme="majorHAnsi"/>
                <w:sz w:val="18"/>
                <w:szCs w:val="18"/>
                <w:lang w:val="en-US"/>
              </w:rPr>
              <w:t>Of which:</w:t>
            </w:r>
            <w:r w:rsidR="001038A1" w:rsidRPr="001038A1">
              <w:rPr>
                <w:rFonts w:asciiTheme="majorHAnsi" w:hAnsiTheme="majorHAnsi" w:cstheme="majorHAnsi"/>
                <w:sz w:val="18"/>
                <w:szCs w:val="18"/>
                <w:lang w:val="en-US"/>
              </w:rPr>
              <w:t xml:space="preserve"> Paid during the financial year and not </w:t>
            </w:r>
            <w:proofErr w:type="gramStart"/>
            <w:r w:rsidR="001038A1" w:rsidRPr="001038A1">
              <w:rPr>
                <w:rFonts w:asciiTheme="majorHAnsi" w:hAnsiTheme="majorHAnsi" w:cstheme="majorHAnsi"/>
                <w:sz w:val="18"/>
                <w:szCs w:val="18"/>
                <w:lang w:val="en-US"/>
              </w:rPr>
              <w:t>taken into account</w:t>
            </w:r>
            <w:proofErr w:type="gramEnd"/>
            <w:r w:rsidR="001038A1" w:rsidRPr="001038A1">
              <w:rPr>
                <w:rFonts w:asciiTheme="majorHAnsi" w:hAnsiTheme="majorHAnsi" w:cstheme="majorHAnsi"/>
                <w:sz w:val="18"/>
                <w:szCs w:val="18"/>
                <w:lang w:val="en-US"/>
              </w:rPr>
              <w:t xml:space="preserve"> in the bonu</w:t>
            </w:r>
            <w:r w:rsidR="001038A1">
              <w:rPr>
                <w:rFonts w:asciiTheme="majorHAnsi" w:hAnsiTheme="majorHAnsi" w:cstheme="majorHAnsi"/>
                <w:sz w:val="18"/>
                <w:szCs w:val="18"/>
                <w:lang w:val="en-US"/>
              </w:rPr>
              <w:t>s cap</w:t>
            </w:r>
          </w:p>
        </w:tc>
        <w:tc>
          <w:tcPr>
            <w:tcW w:w="559" w:type="pct"/>
          </w:tcPr>
          <w:p w14:paraId="05FEE912" w14:textId="5B70179C"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1F400672" w14:textId="65E545B0"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76441203" w14:textId="59B44622"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2C73EBAF" w14:textId="488511BB"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5A0356E2" w14:textId="77777777" w:rsidTr="00044502">
        <w:tc>
          <w:tcPr>
            <w:tcW w:w="2763" w:type="pct"/>
            <w:gridSpan w:val="2"/>
          </w:tcPr>
          <w:p w14:paraId="572F51F4" w14:textId="243AF7CD" w:rsidR="00B503ED" w:rsidRPr="001038A1" w:rsidRDefault="001038A1" w:rsidP="00B503ED">
            <w:pPr>
              <w:tabs>
                <w:tab w:val="left" w:pos="284"/>
                <w:tab w:val="left" w:pos="567"/>
              </w:tabs>
              <w:rPr>
                <w:rFonts w:asciiTheme="majorHAnsi" w:hAnsiTheme="majorHAnsi" w:cstheme="majorHAnsi"/>
                <w:b/>
                <w:bCs/>
                <w:i/>
                <w:iCs/>
                <w:sz w:val="18"/>
                <w:szCs w:val="18"/>
                <w:lang w:val="en-US"/>
              </w:rPr>
            </w:pPr>
            <w:r w:rsidRPr="001038A1">
              <w:rPr>
                <w:rFonts w:asciiTheme="majorHAnsi" w:hAnsiTheme="majorHAnsi" w:cstheme="majorHAnsi"/>
                <w:b/>
                <w:bCs/>
                <w:i/>
                <w:iCs/>
                <w:sz w:val="18"/>
                <w:szCs w:val="18"/>
                <w:lang w:val="en-US"/>
              </w:rPr>
              <w:t xml:space="preserve">Severance payments awarded in </w:t>
            </w:r>
            <w:r>
              <w:rPr>
                <w:rFonts w:asciiTheme="majorHAnsi" w:hAnsiTheme="majorHAnsi" w:cstheme="majorHAnsi"/>
                <w:b/>
                <w:bCs/>
                <w:i/>
                <w:iCs/>
                <w:sz w:val="18"/>
                <w:szCs w:val="18"/>
                <w:lang w:val="en-US"/>
              </w:rPr>
              <w:t>previous periods, that have been paid out during the financial year</w:t>
            </w:r>
          </w:p>
        </w:tc>
        <w:tc>
          <w:tcPr>
            <w:tcW w:w="559" w:type="pct"/>
          </w:tcPr>
          <w:p w14:paraId="4D67F035" w14:textId="77777777" w:rsidR="00B503ED" w:rsidRPr="001038A1" w:rsidRDefault="00B503ED" w:rsidP="00B503ED">
            <w:pPr>
              <w:tabs>
                <w:tab w:val="left" w:pos="284"/>
                <w:tab w:val="left" w:pos="567"/>
              </w:tabs>
              <w:jc w:val="right"/>
              <w:rPr>
                <w:rFonts w:asciiTheme="majorHAnsi" w:hAnsiTheme="majorHAnsi" w:cstheme="majorHAnsi"/>
                <w:sz w:val="18"/>
                <w:szCs w:val="18"/>
                <w:lang w:val="en-US"/>
              </w:rPr>
            </w:pPr>
          </w:p>
        </w:tc>
        <w:tc>
          <w:tcPr>
            <w:tcW w:w="559" w:type="pct"/>
          </w:tcPr>
          <w:p w14:paraId="2776F0AE" w14:textId="7646AD5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18FC0B5F" w14:textId="27AF50C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184CEBEB" w14:textId="73F37C9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1038A1" w:rsidRPr="00044502" w14:paraId="449338D0" w14:textId="77777777" w:rsidTr="00044502">
        <w:tc>
          <w:tcPr>
            <w:tcW w:w="150" w:type="pct"/>
          </w:tcPr>
          <w:p w14:paraId="4D290500" w14:textId="580CDA9B" w:rsidR="001038A1" w:rsidRPr="00044502" w:rsidRDefault="001038A1" w:rsidP="001038A1">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4</w:t>
            </w:r>
          </w:p>
        </w:tc>
        <w:tc>
          <w:tcPr>
            <w:tcW w:w="2614" w:type="pct"/>
          </w:tcPr>
          <w:p w14:paraId="71A8B81E" w14:textId="447E3A88" w:rsidR="001038A1" w:rsidRPr="00044502" w:rsidRDefault="001038A1" w:rsidP="001038A1">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Number of identified staff</w:t>
            </w:r>
          </w:p>
        </w:tc>
        <w:tc>
          <w:tcPr>
            <w:tcW w:w="559" w:type="pct"/>
          </w:tcPr>
          <w:p w14:paraId="70AC4A10" w14:textId="1074AB24"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1CA228B3" w14:textId="79FFC517" w:rsidR="001038A1" w:rsidRPr="00044502" w:rsidRDefault="001038A1" w:rsidP="001038A1">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1 </w:t>
            </w:r>
          </w:p>
        </w:tc>
        <w:tc>
          <w:tcPr>
            <w:tcW w:w="559" w:type="pct"/>
          </w:tcPr>
          <w:p w14:paraId="14000943" w14:textId="5EFF7875"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60700596" w14:textId="34061CBC"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1038A1" w:rsidRPr="00044502" w14:paraId="39FB5A51" w14:textId="77777777" w:rsidTr="00044502">
        <w:tc>
          <w:tcPr>
            <w:tcW w:w="150" w:type="pct"/>
          </w:tcPr>
          <w:p w14:paraId="5EF75DED" w14:textId="002B440E" w:rsidR="001038A1" w:rsidRPr="00044502" w:rsidRDefault="001038A1" w:rsidP="001038A1">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5</w:t>
            </w:r>
          </w:p>
        </w:tc>
        <w:tc>
          <w:tcPr>
            <w:tcW w:w="2614" w:type="pct"/>
          </w:tcPr>
          <w:p w14:paraId="3CC7D2FB" w14:textId="23E38F89" w:rsidR="001038A1" w:rsidRPr="00044502" w:rsidRDefault="001038A1" w:rsidP="001038A1">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Total amount</w:t>
            </w:r>
          </w:p>
        </w:tc>
        <w:tc>
          <w:tcPr>
            <w:tcW w:w="559" w:type="pct"/>
          </w:tcPr>
          <w:p w14:paraId="58F5B808" w14:textId="66D630F5"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65A1E45E" w14:textId="7E6CCA5C" w:rsidR="001038A1" w:rsidRPr="00044502" w:rsidRDefault="001038A1" w:rsidP="001038A1">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1,680 </w:t>
            </w:r>
          </w:p>
        </w:tc>
        <w:tc>
          <w:tcPr>
            <w:tcW w:w="559" w:type="pct"/>
          </w:tcPr>
          <w:p w14:paraId="0EC2E5B5" w14:textId="09BD04FD"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65F31862" w14:textId="69891E0E"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346F8C47" w14:textId="77777777" w:rsidTr="00044502">
        <w:tc>
          <w:tcPr>
            <w:tcW w:w="2763" w:type="pct"/>
            <w:gridSpan w:val="2"/>
          </w:tcPr>
          <w:p w14:paraId="4650CE33" w14:textId="535CC048" w:rsidR="00B503ED" w:rsidRPr="001038A1" w:rsidRDefault="001038A1" w:rsidP="00B503ED">
            <w:pPr>
              <w:tabs>
                <w:tab w:val="left" w:pos="284"/>
                <w:tab w:val="left" w:pos="567"/>
              </w:tabs>
              <w:rPr>
                <w:rFonts w:asciiTheme="majorHAnsi" w:hAnsiTheme="majorHAnsi" w:cstheme="majorHAnsi"/>
                <w:sz w:val="18"/>
                <w:szCs w:val="18"/>
                <w:lang w:val="en-US"/>
              </w:rPr>
            </w:pPr>
            <w:r>
              <w:rPr>
                <w:rFonts w:asciiTheme="majorHAnsi" w:hAnsiTheme="majorHAnsi" w:cstheme="majorHAnsi"/>
                <w:b/>
                <w:bCs/>
                <w:i/>
                <w:iCs/>
                <w:sz w:val="18"/>
                <w:szCs w:val="18"/>
                <w:lang w:val="en-US"/>
              </w:rPr>
              <w:t>S</w:t>
            </w:r>
            <w:r w:rsidRPr="001038A1">
              <w:rPr>
                <w:rFonts w:asciiTheme="majorHAnsi" w:hAnsiTheme="majorHAnsi" w:cstheme="majorHAnsi"/>
                <w:b/>
                <w:bCs/>
                <w:i/>
                <w:iCs/>
                <w:sz w:val="18"/>
                <w:szCs w:val="18"/>
                <w:lang w:val="en-US"/>
              </w:rPr>
              <w:t>everance payments awarded</w:t>
            </w:r>
            <w:r>
              <w:rPr>
                <w:rFonts w:asciiTheme="majorHAnsi" w:hAnsiTheme="majorHAnsi" w:cstheme="majorHAnsi"/>
                <w:b/>
                <w:bCs/>
                <w:i/>
                <w:iCs/>
                <w:sz w:val="18"/>
                <w:szCs w:val="18"/>
                <w:lang w:val="en-US"/>
              </w:rPr>
              <w:t xml:space="preserve"> during the financial year</w:t>
            </w:r>
          </w:p>
        </w:tc>
        <w:tc>
          <w:tcPr>
            <w:tcW w:w="559" w:type="pct"/>
          </w:tcPr>
          <w:p w14:paraId="25036155" w14:textId="77777777" w:rsidR="00B503ED" w:rsidRPr="001038A1" w:rsidRDefault="00B503ED" w:rsidP="00B503ED">
            <w:pPr>
              <w:tabs>
                <w:tab w:val="left" w:pos="284"/>
                <w:tab w:val="left" w:pos="567"/>
              </w:tabs>
              <w:jc w:val="right"/>
              <w:rPr>
                <w:rFonts w:asciiTheme="majorHAnsi" w:hAnsiTheme="majorHAnsi" w:cstheme="majorHAnsi"/>
                <w:sz w:val="18"/>
                <w:szCs w:val="18"/>
                <w:lang w:val="en-US"/>
              </w:rPr>
            </w:pPr>
          </w:p>
        </w:tc>
        <w:tc>
          <w:tcPr>
            <w:tcW w:w="559" w:type="pct"/>
          </w:tcPr>
          <w:p w14:paraId="0DB9B573" w14:textId="42211FA3"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2872BFC4" w14:textId="0CE339B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55338484" w14:textId="33750147"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1038A1" w:rsidRPr="00044502" w14:paraId="211840D8" w14:textId="77777777" w:rsidTr="00044502">
        <w:tc>
          <w:tcPr>
            <w:tcW w:w="150" w:type="pct"/>
          </w:tcPr>
          <w:p w14:paraId="36654ED8" w14:textId="1C63EA5D" w:rsidR="001038A1" w:rsidRPr="00044502" w:rsidRDefault="001038A1" w:rsidP="001038A1">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6</w:t>
            </w:r>
          </w:p>
        </w:tc>
        <w:tc>
          <w:tcPr>
            <w:tcW w:w="2614" w:type="pct"/>
          </w:tcPr>
          <w:p w14:paraId="60D6F6D0" w14:textId="11C316A1" w:rsidR="001038A1" w:rsidRPr="00044502" w:rsidRDefault="001038A1" w:rsidP="001038A1">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Number of identified staff</w:t>
            </w:r>
          </w:p>
        </w:tc>
        <w:tc>
          <w:tcPr>
            <w:tcW w:w="559" w:type="pct"/>
          </w:tcPr>
          <w:p w14:paraId="31C76E91" w14:textId="0BC79AFE"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4AE984D2" w14:textId="0429B9B0"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7B994573" w14:textId="597341D3" w:rsidR="001038A1" w:rsidRPr="00044502" w:rsidRDefault="001038A1" w:rsidP="001038A1">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1 </w:t>
            </w:r>
          </w:p>
        </w:tc>
        <w:tc>
          <w:tcPr>
            <w:tcW w:w="559" w:type="pct"/>
          </w:tcPr>
          <w:p w14:paraId="420A52D3" w14:textId="4C52DD0C"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1038A1" w:rsidRPr="00044502" w14:paraId="7E392643" w14:textId="77777777" w:rsidTr="00044502">
        <w:tc>
          <w:tcPr>
            <w:tcW w:w="150" w:type="pct"/>
          </w:tcPr>
          <w:p w14:paraId="3A7C704B" w14:textId="4022B0CD" w:rsidR="001038A1" w:rsidRPr="00044502" w:rsidRDefault="001038A1" w:rsidP="001038A1">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7</w:t>
            </w:r>
          </w:p>
        </w:tc>
        <w:tc>
          <w:tcPr>
            <w:tcW w:w="2614" w:type="pct"/>
          </w:tcPr>
          <w:p w14:paraId="5CE41399" w14:textId="528DFF8E" w:rsidR="001038A1" w:rsidRPr="00044502" w:rsidRDefault="001038A1" w:rsidP="001038A1">
            <w:pPr>
              <w:tabs>
                <w:tab w:val="left" w:pos="284"/>
                <w:tab w:val="left" w:pos="567"/>
              </w:tabs>
              <w:rPr>
                <w:rFonts w:asciiTheme="majorHAnsi" w:hAnsiTheme="majorHAnsi" w:cstheme="majorHAnsi"/>
                <w:sz w:val="18"/>
                <w:szCs w:val="18"/>
              </w:rPr>
            </w:pPr>
            <w:r>
              <w:rPr>
                <w:rFonts w:asciiTheme="majorHAnsi" w:hAnsiTheme="majorHAnsi" w:cstheme="majorHAnsi"/>
                <w:sz w:val="18"/>
                <w:szCs w:val="18"/>
              </w:rPr>
              <w:t>Total amount</w:t>
            </w:r>
          </w:p>
        </w:tc>
        <w:tc>
          <w:tcPr>
            <w:tcW w:w="559" w:type="pct"/>
          </w:tcPr>
          <w:p w14:paraId="34D0C773" w14:textId="0391AF89"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48804BB6" w14:textId="4FC53BC0"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7CE56326" w14:textId="13770E7B" w:rsidR="001038A1" w:rsidRPr="00044502" w:rsidRDefault="001038A1" w:rsidP="001038A1">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440 </w:t>
            </w:r>
          </w:p>
        </w:tc>
        <w:tc>
          <w:tcPr>
            <w:tcW w:w="559" w:type="pct"/>
          </w:tcPr>
          <w:p w14:paraId="0719A770" w14:textId="21F6E6A9" w:rsidR="001038A1" w:rsidRPr="00044502" w:rsidRDefault="001038A1" w:rsidP="001038A1">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1118EA9C" w14:textId="77777777" w:rsidTr="00044502">
        <w:tc>
          <w:tcPr>
            <w:tcW w:w="150" w:type="pct"/>
          </w:tcPr>
          <w:p w14:paraId="717DC97B" w14:textId="0DE57919"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8</w:t>
            </w:r>
          </w:p>
        </w:tc>
        <w:tc>
          <w:tcPr>
            <w:tcW w:w="2614" w:type="pct"/>
          </w:tcPr>
          <w:p w14:paraId="0BF3CCCF" w14:textId="77AB045C" w:rsidR="00B503ED" w:rsidRPr="001038A1" w:rsidRDefault="00B503ED" w:rsidP="00B503ED">
            <w:pPr>
              <w:tabs>
                <w:tab w:val="left" w:pos="284"/>
                <w:tab w:val="left" w:pos="567"/>
              </w:tabs>
              <w:rPr>
                <w:rFonts w:asciiTheme="majorHAnsi" w:hAnsiTheme="majorHAnsi" w:cstheme="majorHAnsi"/>
                <w:sz w:val="18"/>
                <w:szCs w:val="18"/>
                <w:lang w:val="en-US"/>
              </w:rPr>
            </w:pPr>
            <w:r w:rsidRPr="001038A1">
              <w:rPr>
                <w:rFonts w:asciiTheme="majorHAnsi" w:hAnsiTheme="majorHAnsi" w:cstheme="majorHAnsi"/>
                <w:sz w:val="18"/>
                <w:szCs w:val="18"/>
                <w:lang w:val="en-US"/>
              </w:rPr>
              <w:tab/>
            </w:r>
            <w:r w:rsidR="00A600B5" w:rsidRPr="001038A1">
              <w:rPr>
                <w:rFonts w:asciiTheme="majorHAnsi" w:hAnsiTheme="majorHAnsi" w:cstheme="majorHAnsi"/>
                <w:sz w:val="18"/>
                <w:szCs w:val="18"/>
                <w:lang w:val="en-US"/>
              </w:rPr>
              <w:t>Of which:</w:t>
            </w:r>
            <w:r w:rsidRPr="001038A1">
              <w:rPr>
                <w:rFonts w:asciiTheme="majorHAnsi" w:hAnsiTheme="majorHAnsi" w:cstheme="majorHAnsi"/>
                <w:sz w:val="18"/>
                <w:szCs w:val="18"/>
                <w:lang w:val="en-US"/>
              </w:rPr>
              <w:t xml:space="preserve"> </w:t>
            </w:r>
            <w:r w:rsidR="001038A1">
              <w:rPr>
                <w:rFonts w:asciiTheme="majorHAnsi" w:hAnsiTheme="majorHAnsi" w:cstheme="majorHAnsi"/>
                <w:sz w:val="18"/>
                <w:szCs w:val="18"/>
                <w:lang w:val="en-US"/>
              </w:rPr>
              <w:t>p</w:t>
            </w:r>
            <w:r w:rsidR="001038A1" w:rsidRPr="001038A1">
              <w:rPr>
                <w:rFonts w:asciiTheme="majorHAnsi" w:hAnsiTheme="majorHAnsi" w:cstheme="majorHAnsi"/>
                <w:sz w:val="18"/>
                <w:szCs w:val="18"/>
                <w:lang w:val="en-US"/>
              </w:rPr>
              <w:t>aid during t</w:t>
            </w:r>
            <w:r w:rsidR="001038A1">
              <w:rPr>
                <w:rFonts w:asciiTheme="majorHAnsi" w:hAnsiTheme="majorHAnsi" w:cstheme="majorHAnsi"/>
                <w:sz w:val="18"/>
                <w:szCs w:val="18"/>
                <w:lang w:val="en-US"/>
              </w:rPr>
              <w:t>he financial year</w:t>
            </w:r>
          </w:p>
        </w:tc>
        <w:tc>
          <w:tcPr>
            <w:tcW w:w="559" w:type="pct"/>
          </w:tcPr>
          <w:p w14:paraId="2304C937" w14:textId="0707C329"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09A801D0" w14:textId="5C921209"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0D5A3496" w14:textId="008D8EF1"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58A01A2C" w14:textId="17FB97F2"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2AE88A63" w14:textId="77777777" w:rsidTr="00044502">
        <w:tc>
          <w:tcPr>
            <w:tcW w:w="150" w:type="pct"/>
          </w:tcPr>
          <w:p w14:paraId="03ED0B96" w14:textId="376378A4"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9</w:t>
            </w:r>
          </w:p>
        </w:tc>
        <w:tc>
          <w:tcPr>
            <w:tcW w:w="2614" w:type="pct"/>
          </w:tcPr>
          <w:p w14:paraId="7BE6AC1F" w14:textId="280C25C6"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ab/>
            </w:r>
            <w:r w:rsidR="00A600B5">
              <w:rPr>
                <w:rFonts w:asciiTheme="majorHAnsi" w:hAnsiTheme="majorHAnsi" w:cstheme="majorHAnsi"/>
                <w:sz w:val="18"/>
                <w:szCs w:val="18"/>
              </w:rPr>
              <w:t>Of which:</w:t>
            </w:r>
            <w:r>
              <w:rPr>
                <w:rFonts w:asciiTheme="majorHAnsi" w:hAnsiTheme="majorHAnsi" w:cstheme="majorHAnsi"/>
                <w:sz w:val="18"/>
                <w:szCs w:val="18"/>
              </w:rPr>
              <w:t xml:space="preserve"> </w:t>
            </w:r>
            <w:r w:rsidR="001038A1">
              <w:rPr>
                <w:rFonts w:asciiTheme="majorHAnsi" w:hAnsiTheme="majorHAnsi" w:cstheme="majorHAnsi"/>
                <w:sz w:val="18"/>
                <w:szCs w:val="18"/>
              </w:rPr>
              <w:t>deferred</w:t>
            </w:r>
          </w:p>
        </w:tc>
        <w:tc>
          <w:tcPr>
            <w:tcW w:w="559" w:type="pct"/>
          </w:tcPr>
          <w:p w14:paraId="5B662DC0" w14:textId="4FD6ABB3"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79F60EC4" w14:textId="6ACAC293"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6FA1643F" w14:textId="3A56152C" w:rsidR="00B503ED" w:rsidRPr="00044502" w:rsidRDefault="00B503ED" w:rsidP="00B503ED">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 xml:space="preserve">440 </w:t>
            </w:r>
          </w:p>
        </w:tc>
        <w:tc>
          <w:tcPr>
            <w:tcW w:w="559" w:type="pct"/>
          </w:tcPr>
          <w:p w14:paraId="1D8FA639" w14:textId="2A00DB62"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45340AD6" w14:textId="77777777" w:rsidTr="00044502">
        <w:tc>
          <w:tcPr>
            <w:tcW w:w="150" w:type="pct"/>
          </w:tcPr>
          <w:p w14:paraId="3611BBDA" w14:textId="7BBCBE38"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10</w:t>
            </w:r>
          </w:p>
        </w:tc>
        <w:tc>
          <w:tcPr>
            <w:tcW w:w="2614" w:type="pct"/>
          </w:tcPr>
          <w:p w14:paraId="49D22BA7" w14:textId="53553EA1" w:rsidR="00B503ED" w:rsidRPr="001038A1" w:rsidRDefault="00B503ED" w:rsidP="00B503ED">
            <w:pPr>
              <w:tabs>
                <w:tab w:val="left" w:pos="284"/>
                <w:tab w:val="left" w:pos="567"/>
              </w:tabs>
              <w:rPr>
                <w:rFonts w:asciiTheme="majorHAnsi" w:hAnsiTheme="majorHAnsi" w:cstheme="majorHAnsi"/>
                <w:sz w:val="18"/>
                <w:szCs w:val="18"/>
                <w:lang w:val="en-US"/>
              </w:rPr>
            </w:pPr>
            <w:r w:rsidRPr="00190994">
              <w:rPr>
                <w:rFonts w:asciiTheme="majorHAnsi" w:hAnsiTheme="majorHAnsi" w:cstheme="majorHAnsi"/>
                <w:sz w:val="18"/>
                <w:szCs w:val="18"/>
                <w:lang w:val="en-US"/>
              </w:rPr>
              <w:tab/>
            </w:r>
            <w:r w:rsidR="00A600B5" w:rsidRPr="001038A1">
              <w:rPr>
                <w:rFonts w:asciiTheme="majorHAnsi" w:hAnsiTheme="majorHAnsi" w:cstheme="majorHAnsi"/>
                <w:sz w:val="18"/>
                <w:szCs w:val="18"/>
                <w:lang w:val="en-US"/>
              </w:rPr>
              <w:t>Of which:</w:t>
            </w:r>
            <w:r w:rsidRPr="001038A1">
              <w:rPr>
                <w:rFonts w:asciiTheme="majorHAnsi" w:hAnsiTheme="majorHAnsi" w:cstheme="majorHAnsi"/>
                <w:sz w:val="18"/>
                <w:szCs w:val="18"/>
                <w:lang w:val="en-US"/>
              </w:rPr>
              <w:t xml:space="preserve"> </w:t>
            </w:r>
            <w:r w:rsidR="001038A1">
              <w:rPr>
                <w:rFonts w:asciiTheme="majorHAnsi" w:hAnsiTheme="majorHAnsi" w:cstheme="majorHAnsi"/>
                <w:sz w:val="18"/>
                <w:szCs w:val="18"/>
                <w:lang w:val="en-US"/>
              </w:rPr>
              <w:t>p</w:t>
            </w:r>
            <w:r w:rsidR="001038A1" w:rsidRPr="001038A1">
              <w:rPr>
                <w:rFonts w:asciiTheme="majorHAnsi" w:hAnsiTheme="majorHAnsi" w:cstheme="majorHAnsi"/>
                <w:sz w:val="18"/>
                <w:szCs w:val="18"/>
                <w:lang w:val="en-US"/>
              </w:rPr>
              <w:t>aid during t</w:t>
            </w:r>
            <w:r w:rsidR="001038A1">
              <w:rPr>
                <w:rFonts w:asciiTheme="majorHAnsi" w:hAnsiTheme="majorHAnsi" w:cstheme="majorHAnsi"/>
                <w:sz w:val="18"/>
                <w:szCs w:val="18"/>
                <w:lang w:val="en-US"/>
              </w:rPr>
              <w:t>he financial year</w:t>
            </w:r>
          </w:p>
        </w:tc>
        <w:tc>
          <w:tcPr>
            <w:tcW w:w="559" w:type="pct"/>
          </w:tcPr>
          <w:p w14:paraId="1EE17937" w14:textId="7985C784"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4AF3FAC3" w14:textId="7F97836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0CE7E522" w14:textId="1FEC70A5"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374DF81C" w14:textId="7DED087A"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r w:rsidR="00B503ED" w:rsidRPr="00044502" w14:paraId="22BB9926" w14:textId="77777777" w:rsidTr="00044502">
        <w:tc>
          <w:tcPr>
            <w:tcW w:w="150" w:type="pct"/>
          </w:tcPr>
          <w:p w14:paraId="78908436" w14:textId="2A053286" w:rsidR="00B503ED" w:rsidRPr="00044502" w:rsidRDefault="00B503ED" w:rsidP="00B503ED">
            <w:pPr>
              <w:tabs>
                <w:tab w:val="left" w:pos="284"/>
                <w:tab w:val="left" w:pos="567"/>
              </w:tabs>
              <w:rPr>
                <w:rFonts w:asciiTheme="majorHAnsi" w:hAnsiTheme="majorHAnsi" w:cstheme="majorHAnsi"/>
                <w:sz w:val="18"/>
                <w:szCs w:val="18"/>
              </w:rPr>
            </w:pPr>
            <w:r w:rsidRPr="00044502">
              <w:rPr>
                <w:rFonts w:asciiTheme="majorHAnsi" w:hAnsiTheme="majorHAnsi" w:cstheme="majorHAnsi"/>
                <w:sz w:val="18"/>
                <w:szCs w:val="18"/>
              </w:rPr>
              <w:t>11</w:t>
            </w:r>
          </w:p>
        </w:tc>
        <w:tc>
          <w:tcPr>
            <w:tcW w:w="2614" w:type="pct"/>
          </w:tcPr>
          <w:p w14:paraId="6AA4039A" w14:textId="715134A0" w:rsidR="00B503ED" w:rsidRPr="001038A1" w:rsidRDefault="00B503ED" w:rsidP="00B503ED">
            <w:pPr>
              <w:tabs>
                <w:tab w:val="left" w:pos="284"/>
                <w:tab w:val="left" w:pos="567"/>
              </w:tabs>
              <w:rPr>
                <w:rFonts w:asciiTheme="majorHAnsi" w:hAnsiTheme="majorHAnsi" w:cstheme="majorHAnsi"/>
                <w:sz w:val="18"/>
                <w:szCs w:val="18"/>
                <w:lang w:val="en-US"/>
              </w:rPr>
            </w:pPr>
            <w:r w:rsidRPr="00190994">
              <w:rPr>
                <w:rFonts w:asciiTheme="majorHAnsi" w:hAnsiTheme="majorHAnsi" w:cstheme="majorHAnsi"/>
                <w:sz w:val="18"/>
                <w:szCs w:val="18"/>
                <w:lang w:val="en-US"/>
              </w:rPr>
              <w:tab/>
            </w:r>
            <w:r w:rsidR="00A600B5" w:rsidRPr="001038A1">
              <w:rPr>
                <w:rFonts w:asciiTheme="majorHAnsi" w:hAnsiTheme="majorHAnsi" w:cstheme="majorHAnsi"/>
                <w:sz w:val="18"/>
                <w:szCs w:val="18"/>
                <w:lang w:val="en-US"/>
              </w:rPr>
              <w:t>Of which:</w:t>
            </w:r>
            <w:r w:rsidRPr="001038A1">
              <w:rPr>
                <w:rFonts w:asciiTheme="majorHAnsi" w:hAnsiTheme="majorHAnsi" w:cstheme="majorHAnsi"/>
                <w:sz w:val="18"/>
                <w:szCs w:val="18"/>
                <w:lang w:val="en-US"/>
              </w:rPr>
              <w:t xml:space="preserve"> </w:t>
            </w:r>
            <w:r w:rsidR="001038A1" w:rsidRPr="001038A1">
              <w:rPr>
                <w:rFonts w:asciiTheme="majorHAnsi" w:hAnsiTheme="majorHAnsi" w:cstheme="majorHAnsi"/>
                <w:sz w:val="18"/>
                <w:szCs w:val="18"/>
                <w:lang w:val="en-US"/>
              </w:rPr>
              <w:t>the highest payment that h</w:t>
            </w:r>
            <w:r w:rsidR="001038A1">
              <w:rPr>
                <w:rFonts w:asciiTheme="majorHAnsi" w:hAnsiTheme="majorHAnsi" w:cstheme="majorHAnsi"/>
                <w:sz w:val="18"/>
                <w:szCs w:val="18"/>
                <w:lang w:val="en-US"/>
              </w:rPr>
              <w:t>as been awarded to a single person</w:t>
            </w:r>
          </w:p>
        </w:tc>
        <w:tc>
          <w:tcPr>
            <w:tcW w:w="559" w:type="pct"/>
          </w:tcPr>
          <w:p w14:paraId="312B1E09" w14:textId="1C441CD3"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5E2C191B" w14:textId="7298E5F3"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c>
          <w:tcPr>
            <w:tcW w:w="559" w:type="pct"/>
          </w:tcPr>
          <w:p w14:paraId="5CCC18D8" w14:textId="3AAD7E83" w:rsidR="00B503ED" w:rsidRPr="00044502" w:rsidRDefault="001038A1" w:rsidP="00B503ED">
            <w:pPr>
              <w:tabs>
                <w:tab w:val="left" w:pos="284"/>
                <w:tab w:val="left" w:pos="567"/>
              </w:tabs>
              <w:jc w:val="right"/>
              <w:rPr>
                <w:rFonts w:asciiTheme="majorHAnsi" w:hAnsiTheme="majorHAnsi" w:cstheme="majorHAnsi"/>
                <w:sz w:val="18"/>
                <w:szCs w:val="18"/>
              </w:rPr>
            </w:pPr>
            <w:r>
              <w:rPr>
                <w:rFonts w:asciiTheme="majorHAnsi" w:hAnsiTheme="majorHAnsi" w:cstheme="majorHAnsi"/>
                <w:sz w:val="18"/>
                <w:szCs w:val="18"/>
              </w:rPr>
              <w:t>440</w:t>
            </w:r>
          </w:p>
        </w:tc>
        <w:tc>
          <w:tcPr>
            <w:tcW w:w="559" w:type="pct"/>
          </w:tcPr>
          <w:p w14:paraId="1CE1EFDC" w14:textId="096B3446" w:rsidR="00B503ED" w:rsidRPr="00044502" w:rsidRDefault="00B503ED" w:rsidP="00B503ED">
            <w:pPr>
              <w:tabs>
                <w:tab w:val="left" w:pos="284"/>
                <w:tab w:val="left" w:pos="567"/>
              </w:tabs>
              <w:jc w:val="right"/>
              <w:rPr>
                <w:rFonts w:asciiTheme="majorHAnsi" w:hAnsiTheme="majorHAnsi" w:cstheme="majorHAnsi"/>
                <w:sz w:val="18"/>
                <w:szCs w:val="18"/>
              </w:rPr>
            </w:pPr>
            <w:r w:rsidRPr="00B20E34">
              <w:rPr>
                <w:rFonts w:asciiTheme="majorHAnsi" w:hAnsiTheme="majorHAnsi" w:cstheme="majorHAnsi"/>
                <w:sz w:val="18"/>
                <w:szCs w:val="18"/>
              </w:rPr>
              <w:t>-</w:t>
            </w:r>
          </w:p>
        </w:tc>
      </w:tr>
    </w:tbl>
    <w:p w14:paraId="766A5189" w14:textId="77777777" w:rsidR="00044502" w:rsidRDefault="00044502" w:rsidP="00044502"/>
    <w:p w14:paraId="4E3F33C4" w14:textId="59C6FC2E" w:rsidR="00BC7E17" w:rsidRPr="00BC7E17" w:rsidRDefault="00BC7E17" w:rsidP="002E1650">
      <w:pPr>
        <w:pStyle w:val="Heading4"/>
      </w:pPr>
      <w:r w:rsidRPr="00BC7E17">
        <w:t xml:space="preserve">Mall EU REM3 – </w:t>
      </w:r>
      <w:r w:rsidR="00A600B5">
        <w:t>Deferred</w:t>
      </w:r>
      <w:r w:rsidRPr="00BC7E17">
        <w:t xml:space="preserve"> </w:t>
      </w:r>
      <w:r w:rsidR="001038A1">
        <w:t>remuneration</w:t>
      </w:r>
    </w:p>
    <w:p w14:paraId="68B308C2" w14:textId="068C39E4" w:rsidR="001038A1" w:rsidRPr="001038A1" w:rsidRDefault="00B503ED" w:rsidP="00B503ED">
      <w:pPr>
        <w:rPr>
          <w:lang w:val="en-US"/>
        </w:rPr>
      </w:pPr>
      <w:r w:rsidRPr="001038A1">
        <w:rPr>
          <w:lang w:val="en-US"/>
        </w:rPr>
        <w:t xml:space="preserve">Qliro </w:t>
      </w:r>
      <w:r w:rsidR="001038A1" w:rsidRPr="001038A1">
        <w:rPr>
          <w:lang w:val="en-US"/>
        </w:rPr>
        <w:t>has no deferred r</w:t>
      </w:r>
      <w:r w:rsidR="001038A1">
        <w:rPr>
          <w:lang w:val="en-US"/>
        </w:rPr>
        <w:t>emuneration for 2022, as Qliro, i</w:t>
      </w:r>
      <w:r w:rsidR="001038A1" w:rsidRPr="001038A1">
        <w:rPr>
          <w:lang w:val="en-US"/>
        </w:rPr>
        <w:t>n accordance with the exemption in FFFS 2011:1,</w:t>
      </w:r>
      <w:r w:rsidR="001038A1">
        <w:rPr>
          <w:lang w:val="en-US"/>
        </w:rPr>
        <w:t xml:space="preserve"> </w:t>
      </w:r>
      <w:r w:rsidR="001038A1" w:rsidRPr="001038A1">
        <w:rPr>
          <w:lang w:val="en-US"/>
        </w:rPr>
        <w:t>chapter 1, section 2a, does not apply deferred variable remuneration.</w:t>
      </w:r>
    </w:p>
    <w:p w14:paraId="566C44F1" w14:textId="77777777" w:rsidR="00802416" w:rsidRDefault="00802416" w:rsidP="00BC7E17">
      <w:pPr>
        <w:rPr>
          <w:rFonts w:asciiTheme="majorHAnsi" w:eastAsiaTheme="majorEastAsia" w:hAnsiTheme="majorHAnsi" w:cstheme="majorBidi"/>
          <w:b/>
          <w:bCs/>
          <w:i/>
          <w:iCs/>
          <w:color w:val="000000" w:themeColor="text1"/>
          <w:szCs w:val="20"/>
          <w:lang w:val="en-US"/>
        </w:rPr>
      </w:pPr>
      <w:r w:rsidRPr="00802416">
        <w:rPr>
          <w:rFonts w:asciiTheme="majorHAnsi" w:eastAsiaTheme="majorEastAsia" w:hAnsiTheme="majorHAnsi" w:cstheme="majorBidi"/>
          <w:b/>
          <w:bCs/>
          <w:i/>
          <w:iCs/>
          <w:color w:val="000000" w:themeColor="text1"/>
          <w:szCs w:val="20"/>
          <w:lang w:val="en-US"/>
        </w:rPr>
        <w:t>Template EU REM4 – Remuneration of 1 million euro or more per year</w:t>
      </w:r>
    </w:p>
    <w:p w14:paraId="216B7BF7" w14:textId="79DAB55A" w:rsidR="001038A1" w:rsidRPr="001038A1" w:rsidRDefault="001038A1" w:rsidP="00BC7E17">
      <w:pPr>
        <w:rPr>
          <w:lang w:val="en-US"/>
        </w:rPr>
      </w:pPr>
      <w:r w:rsidRPr="001038A1">
        <w:rPr>
          <w:lang w:val="en-US"/>
        </w:rPr>
        <w:t>Qliro ha</w:t>
      </w:r>
      <w:r>
        <w:rPr>
          <w:lang w:val="en-US"/>
        </w:rPr>
        <w:t xml:space="preserve">s </w:t>
      </w:r>
      <w:r w:rsidRPr="001038A1">
        <w:rPr>
          <w:lang w:val="en-US"/>
        </w:rPr>
        <w:t>no</w:t>
      </w:r>
      <w:r>
        <w:rPr>
          <w:lang w:val="en-US"/>
        </w:rPr>
        <w:t>t awarded any</w:t>
      </w:r>
      <w:r w:rsidRPr="001038A1">
        <w:rPr>
          <w:lang w:val="en-US"/>
        </w:rPr>
        <w:t xml:space="preserve"> remuneration </w:t>
      </w:r>
      <w:r>
        <w:rPr>
          <w:lang w:val="en-US"/>
        </w:rPr>
        <w:t>amounting to</w:t>
      </w:r>
      <w:r w:rsidRPr="001038A1">
        <w:rPr>
          <w:lang w:val="en-US"/>
        </w:rPr>
        <w:t xml:space="preserve"> 1 million euro or more in 202</w:t>
      </w:r>
      <w:r>
        <w:rPr>
          <w:lang w:val="en-US"/>
        </w:rPr>
        <w:t>2</w:t>
      </w:r>
      <w:r w:rsidRPr="001038A1">
        <w:rPr>
          <w:lang w:val="en-US"/>
        </w:rPr>
        <w:t>.</w:t>
      </w:r>
    </w:p>
    <w:p w14:paraId="26790ADA" w14:textId="77777777" w:rsidR="00B503ED" w:rsidRPr="001038A1" w:rsidRDefault="00B503ED">
      <w:pPr>
        <w:rPr>
          <w:lang w:val="en-US"/>
        </w:rPr>
      </w:pPr>
      <w:r w:rsidRPr="001038A1">
        <w:rPr>
          <w:lang w:val="en-US"/>
        </w:rPr>
        <w:br w:type="page"/>
      </w:r>
    </w:p>
    <w:p w14:paraId="3DC3AFD7" w14:textId="02736969" w:rsidR="00BC7E17" w:rsidRPr="00802416" w:rsidRDefault="00802416" w:rsidP="00BC7E17">
      <w:pPr>
        <w:pStyle w:val="Heading2"/>
        <w:ind w:left="426" w:hanging="426"/>
        <w:rPr>
          <w:lang w:val="en-US"/>
        </w:rPr>
      </w:pPr>
      <w:r w:rsidRPr="00802416">
        <w:rPr>
          <w:lang w:val="en-US"/>
        </w:rPr>
        <w:lastRenderedPageBreak/>
        <w:t>The Board of Directors’ a</w:t>
      </w:r>
      <w:r>
        <w:rPr>
          <w:lang w:val="en-US"/>
        </w:rPr>
        <w:t>ssurance</w:t>
      </w:r>
    </w:p>
    <w:p w14:paraId="2842A5CA" w14:textId="77777777" w:rsidR="001038A1" w:rsidRPr="001038A1" w:rsidRDefault="001038A1" w:rsidP="001038A1">
      <w:pPr>
        <w:rPr>
          <w:lang w:val="en-US"/>
        </w:rPr>
      </w:pPr>
      <w:r w:rsidRPr="001038A1">
        <w:rPr>
          <w:lang w:val="en-US"/>
        </w:rPr>
        <w:t>The Board of Directors and the CEO certify that Qliro AB has fulfilled the disclosure requirements in the European Parliament’s and the Council’s Regulation (EU) No 575/2013 on prudential requirements for credit institutions and investment firms, part eight, in accordance with the company’s formal guidelines and internal processes, systems and controls.</w:t>
      </w:r>
    </w:p>
    <w:p w14:paraId="1FDEF181" w14:textId="77777777" w:rsidR="001038A1" w:rsidRPr="001038A1" w:rsidRDefault="001038A1" w:rsidP="001038A1">
      <w:pPr>
        <w:jc w:val="center"/>
        <w:rPr>
          <w:lang w:val="en-US"/>
        </w:rPr>
      </w:pPr>
      <w:r w:rsidRPr="001038A1">
        <w:rPr>
          <w:lang w:val="en-US"/>
        </w:rPr>
        <w:t>* * * * * * *</w:t>
      </w:r>
    </w:p>
    <w:p w14:paraId="46E3A167" w14:textId="458A354A" w:rsidR="001038A1" w:rsidRPr="001038A1" w:rsidRDefault="001038A1" w:rsidP="001038A1">
      <w:pPr>
        <w:tabs>
          <w:tab w:val="left" w:pos="4536"/>
          <w:tab w:val="left" w:pos="9072"/>
        </w:tabs>
        <w:rPr>
          <w:lang w:val="en-US"/>
        </w:rPr>
      </w:pPr>
      <w:r w:rsidRPr="001038A1">
        <w:rPr>
          <w:lang w:val="en-US"/>
        </w:rPr>
        <w:t xml:space="preserve">Stockholm, </w:t>
      </w:r>
      <w:r>
        <w:rPr>
          <w:lang w:val="en-US"/>
        </w:rPr>
        <w:t>A</w:t>
      </w:r>
      <w:r w:rsidRPr="001038A1">
        <w:rPr>
          <w:lang w:val="en-US"/>
        </w:rPr>
        <w:t xml:space="preserve">pril </w:t>
      </w:r>
      <w:r>
        <w:rPr>
          <w:lang w:val="en-US"/>
        </w:rPr>
        <w:t xml:space="preserve">7, </w:t>
      </w:r>
      <w:r w:rsidRPr="001038A1">
        <w:rPr>
          <w:lang w:val="en-US"/>
        </w:rPr>
        <w:t>202</w:t>
      </w:r>
      <w:r>
        <w:rPr>
          <w:lang w:val="en-US"/>
        </w:rPr>
        <w:t>3</w:t>
      </w:r>
    </w:p>
    <w:p w14:paraId="25B3C775" w14:textId="77777777" w:rsidR="001038A1" w:rsidRPr="001038A1" w:rsidRDefault="001038A1" w:rsidP="001038A1">
      <w:pPr>
        <w:tabs>
          <w:tab w:val="left" w:pos="4536"/>
          <w:tab w:val="left" w:pos="9072"/>
        </w:tabs>
        <w:rPr>
          <w:lang w:val="en-US"/>
        </w:rPr>
      </w:pPr>
      <w:r w:rsidRPr="001038A1">
        <w:rPr>
          <w:lang w:val="en-US"/>
        </w:rPr>
        <w:br/>
      </w:r>
    </w:p>
    <w:p w14:paraId="7CF7A193" w14:textId="77777777" w:rsidR="001038A1" w:rsidRPr="004F7624" w:rsidRDefault="001038A1" w:rsidP="001038A1">
      <w:pPr>
        <w:tabs>
          <w:tab w:val="left" w:pos="4820"/>
          <w:tab w:val="left" w:pos="9639"/>
        </w:tabs>
        <w:rPr>
          <w:lang w:val="en-US"/>
        </w:rPr>
      </w:pPr>
      <w:r w:rsidRPr="004F7624">
        <w:rPr>
          <w:lang w:val="en-US"/>
        </w:rPr>
        <w:t>_____________________</w:t>
      </w:r>
      <w:r w:rsidRPr="004F7624">
        <w:rPr>
          <w:lang w:val="en-US"/>
        </w:rPr>
        <w:tab/>
        <w:t>_____________________</w:t>
      </w:r>
      <w:r w:rsidRPr="004F7624">
        <w:rPr>
          <w:lang w:val="en-US"/>
        </w:rPr>
        <w:tab/>
        <w:t>_____________________</w:t>
      </w:r>
      <w:r w:rsidRPr="004F7624">
        <w:rPr>
          <w:lang w:val="en-US"/>
        </w:rPr>
        <w:br/>
        <w:t>Patrik Enblad</w:t>
      </w:r>
      <w:r w:rsidRPr="004F7624">
        <w:rPr>
          <w:lang w:val="en-US"/>
        </w:rPr>
        <w:tab/>
        <w:t>Alexander Antas</w:t>
      </w:r>
      <w:r w:rsidRPr="004F7624">
        <w:rPr>
          <w:lang w:val="en-US"/>
        </w:rPr>
        <w:tab/>
        <w:t>Mikael Kjellman</w:t>
      </w:r>
      <w:r w:rsidRPr="004F7624">
        <w:rPr>
          <w:lang w:val="en-US"/>
        </w:rPr>
        <w:br/>
        <w:t>Chairman of the Board of Directo</w:t>
      </w:r>
      <w:r>
        <w:rPr>
          <w:lang w:val="en-US"/>
        </w:rPr>
        <w:t>rs</w:t>
      </w:r>
      <w:r>
        <w:rPr>
          <w:lang w:val="en-US"/>
        </w:rPr>
        <w:tab/>
        <w:t>Member of the Board of Directors</w:t>
      </w:r>
      <w:r w:rsidRPr="004F7624">
        <w:rPr>
          <w:lang w:val="en-US"/>
        </w:rPr>
        <w:tab/>
      </w:r>
      <w:r>
        <w:rPr>
          <w:lang w:val="en-US"/>
        </w:rPr>
        <w:t>Member of the Board of Directors</w:t>
      </w:r>
    </w:p>
    <w:p w14:paraId="42FE8EF2" w14:textId="77777777" w:rsidR="001038A1" w:rsidRPr="004F7624" w:rsidRDefault="001038A1" w:rsidP="001038A1">
      <w:pPr>
        <w:tabs>
          <w:tab w:val="left" w:pos="4820"/>
          <w:tab w:val="left" w:pos="9639"/>
        </w:tabs>
        <w:rPr>
          <w:lang w:val="en-US"/>
        </w:rPr>
      </w:pPr>
      <w:r w:rsidRPr="004F7624">
        <w:rPr>
          <w:lang w:val="en-US"/>
        </w:rPr>
        <w:br/>
      </w:r>
    </w:p>
    <w:p w14:paraId="3ABEAE36" w14:textId="77777777" w:rsidR="001038A1" w:rsidRPr="004F7624" w:rsidRDefault="001038A1" w:rsidP="001038A1">
      <w:pPr>
        <w:tabs>
          <w:tab w:val="left" w:pos="4820"/>
          <w:tab w:val="left" w:pos="9639"/>
        </w:tabs>
        <w:rPr>
          <w:lang w:val="en-US"/>
        </w:rPr>
      </w:pPr>
      <w:r w:rsidRPr="004F7624">
        <w:rPr>
          <w:lang w:val="en-US"/>
        </w:rPr>
        <w:t>_____________________</w:t>
      </w:r>
      <w:r w:rsidRPr="004F7624">
        <w:rPr>
          <w:lang w:val="en-US"/>
        </w:rPr>
        <w:tab/>
        <w:t>_____________________</w:t>
      </w:r>
      <w:r w:rsidRPr="004F7624">
        <w:rPr>
          <w:lang w:val="en-US"/>
        </w:rPr>
        <w:tab/>
        <w:t>_____________________</w:t>
      </w:r>
      <w:r w:rsidRPr="004F7624">
        <w:rPr>
          <w:lang w:val="en-US"/>
        </w:rPr>
        <w:br/>
        <w:t>Monica Caneman</w:t>
      </w:r>
      <w:r w:rsidRPr="004F7624">
        <w:rPr>
          <w:lang w:val="en-US"/>
        </w:rPr>
        <w:tab/>
        <w:t>Lennart Francke</w:t>
      </w:r>
      <w:r w:rsidRPr="004F7624">
        <w:rPr>
          <w:lang w:val="en-US"/>
        </w:rPr>
        <w:tab/>
        <w:t>Helena Nelson</w:t>
      </w:r>
      <w:r w:rsidRPr="004F7624">
        <w:rPr>
          <w:lang w:val="en-US"/>
        </w:rPr>
        <w:br/>
      </w:r>
      <w:r>
        <w:rPr>
          <w:lang w:val="en-US"/>
        </w:rPr>
        <w:t>Member of the Board of Directors</w:t>
      </w:r>
      <w:r w:rsidRPr="004F7624">
        <w:rPr>
          <w:lang w:val="en-US"/>
        </w:rPr>
        <w:tab/>
      </w:r>
      <w:r>
        <w:rPr>
          <w:lang w:val="en-US"/>
        </w:rPr>
        <w:t>Member of the Board of Directors</w:t>
      </w:r>
      <w:r w:rsidRPr="004F7624">
        <w:rPr>
          <w:lang w:val="en-US"/>
        </w:rPr>
        <w:tab/>
      </w:r>
      <w:r>
        <w:rPr>
          <w:lang w:val="en-US"/>
        </w:rPr>
        <w:t>Member of the Board of Directors</w:t>
      </w:r>
    </w:p>
    <w:p w14:paraId="402E0E5B" w14:textId="77777777" w:rsidR="001038A1" w:rsidRPr="004F7624" w:rsidRDefault="001038A1" w:rsidP="001038A1">
      <w:pPr>
        <w:tabs>
          <w:tab w:val="left" w:pos="4820"/>
          <w:tab w:val="left" w:pos="9639"/>
        </w:tabs>
        <w:rPr>
          <w:lang w:val="en-US"/>
        </w:rPr>
      </w:pPr>
      <w:r w:rsidRPr="004F7624">
        <w:rPr>
          <w:lang w:val="en-US"/>
        </w:rPr>
        <w:br/>
      </w:r>
    </w:p>
    <w:p w14:paraId="41E99080" w14:textId="77777777" w:rsidR="001038A1" w:rsidRPr="00BC7E17" w:rsidRDefault="001038A1" w:rsidP="001038A1">
      <w:pPr>
        <w:tabs>
          <w:tab w:val="left" w:pos="4820"/>
          <w:tab w:val="left" w:pos="9639"/>
        </w:tabs>
      </w:pPr>
      <w:r>
        <w:t>_____________________</w:t>
      </w:r>
      <w:r>
        <w:br/>
        <w:t>Christoffer Rutgersson</w:t>
      </w:r>
      <w:r>
        <w:br/>
        <w:t>Chief Executive Officer</w:t>
      </w:r>
    </w:p>
    <w:p w14:paraId="54C08B83" w14:textId="46CFAD92" w:rsidR="00BC7E17" w:rsidRPr="00BC7E17" w:rsidRDefault="00BC7E17" w:rsidP="001038A1"/>
    <w:sectPr w:rsidR="00BC7E17" w:rsidRPr="00BC7E17" w:rsidSect="002E1650">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1130" w14:textId="77777777" w:rsidR="00D535CB" w:rsidRDefault="00D535CB" w:rsidP="00D93DC3">
      <w:pPr>
        <w:spacing w:after="0" w:line="240" w:lineRule="auto"/>
      </w:pPr>
      <w:r>
        <w:separator/>
      </w:r>
    </w:p>
  </w:endnote>
  <w:endnote w:type="continuationSeparator" w:id="0">
    <w:p w14:paraId="50A7340F" w14:textId="77777777" w:rsidR="00D535CB" w:rsidRDefault="00D535CB" w:rsidP="00D9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19933"/>
      <w:docPartObj>
        <w:docPartGallery w:val="Page Numbers (Bottom of Page)"/>
        <w:docPartUnique/>
      </w:docPartObj>
    </w:sdtPr>
    <w:sdtEndPr/>
    <w:sdtContent>
      <w:p w14:paraId="1A5F7520" w14:textId="0590ADC4" w:rsidR="00B503ED" w:rsidRDefault="00B503ED" w:rsidP="00B503ED">
        <w:pPr>
          <w:pStyle w:val="Footer"/>
          <w:jc w:val="center"/>
        </w:pPr>
        <w:r>
          <w:t xml:space="preserve">– </w:t>
        </w:r>
        <w:r>
          <w:fldChar w:fldCharType="begin"/>
        </w:r>
        <w:r>
          <w:instrText>PAGE   \* MERGEFORMAT</w:instrText>
        </w:r>
        <w:r>
          <w:fldChar w:fldCharType="separate"/>
        </w:r>
        <w:r>
          <w:t>2</w:t>
        </w:r>
        <w:r>
          <w:fldChar w:fldCharType="end"/>
        </w:r>
        <w:r>
          <w:t xml:space="preserve"> (6) –</w:t>
        </w:r>
      </w:p>
    </w:sdtContent>
  </w:sdt>
  <w:p w14:paraId="14A81835" w14:textId="77777777" w:rsidR="00B503ED" w:rsidRDefault="00B5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A52C" w14:textId="77777777" w:rsidR="00D535CB" w:rsidRDefault="00D535CB" w:rsidP="00D93DC3">
      <w:pPr>
        <w:spacing w:after="0" w:line="240" w:lineRule="auto"/>
      </w:pPr>
      <w:r>
        <w:separator/>
      </w:r>
    </w:p>
  </w:footnote>
  <w:footnote w:type="continuationSeparator" w:id="0">
    <w:p w14:paraId="3B5AC1D9" w14:textId="77777777" w:rsidR="00D535CB" w:rsidRDefault="00D535CB" w:rsidP="00D9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53C1" w14:textId="23342AAC" w:rsidR="00D93DC3" w:rsidRDefault="00D93DC3" w:rsidP="00D93DC3">
    <w:pPr>
      <w:pStyle w:val="Header"/>
      <w:jc w:val="right"/>
    </w:pPr>
    <w:r w:rsidRPr="00D93DC3">
      <w:rPr>
        <w:noProof/>
      </w:rPr>
      <w:drawing>
        <wp:inline distT="0" distB="0" distL="0" distR="0" wp14:anchorId="2355DAFC" wp14:editId="4A17F882">
          <wp:extent cx="1632320" cy="338555"/>
          <wp:effectExtent l="0" t="0" r="6350" b="4445"/>
          <wp:docPr id="3" name="Bildobjekt 2">
            <a:extLst xmlns:a="http://schemas.openxmlformats.org/drawingml/2006/main">
              <a:ext uri="{FF2B5EF4-FFF2-40B4-BE49-F238E27FC236}">
                <a16:creationId xmlns:a16="http://schemas.microsoft.com/office/drawing/2014/main" id="{B97E98F4-F00A-44DF-BD45-16B6DC0DB5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B97E98F4-F00A-44DF-BD45-16B6DC0DB5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2320" cy="338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876"/>
    <w:multiLevelType w:val="hybridMultilevel"/>
    <w:tmpl w:val="256AA1A6"/>
    <w:lvl w:ilvl="0" w:tplc="C64E28A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69402B"/>
    <w:multiLevelType w:val="hybridMultilevel"/>
    <w:tmpl w:val="33ACDC8A"/>
    <w:lvl w:ilvl="0" w:tplc="C64E28A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F37204"/>
    <w:multiLevelType w:val="hybridMultilevel"/>
    <w:tmpl w:val="8E9EBB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2006D1"/>
    <w:multiLevelType w:val="hybridMultilevel"/>
    <w:tmpl w:val="029EC4F0"/>
    <w:lvl w:ilvl="0" w:tplc="C64E28A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AB569D"/>
    <w:multiLevelType w:val="hybridMultilevel"/>
    <w:tmpl w:val="22625070"/>
    <w:lvl w:ilvl="0" w:tplc="C64E28A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3FB7F1E"/>
    <w:multiLevelType w:val="hybridMultilevel"/>
    <w:tmpl w:val="4B1282FA"/>
    <w:lvl w:ilvl="0" w:tplc="472A9FB6">
      <w:start w:val="1"/>
      <w:numFmt w:val="decimal"/>
      <w:pStyle w:val="Heading2"/>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B5F779D"/>
    <w:multiLevelType w:val="hybridMultilevel"/>
    <w:tmpl w:val="06A2E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7679E6"/>
    <w:multiLevelType w:val="hybridMultilevel"/>
    <w:tmpl w:val="7FE26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EF356A"/>
    <w:multiLevelType w:val="hybridMultilevel"/>
    <w:tmpl w:val="B5F024F0"/>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7087052">
    <w:abstractNumId w:val="2"/>
  </w:num>
  <w:num w:numId="2" w16cid:durableId="1903709467">
    <w:abstractNumId w:val="5"/>
  </w:num>
  <w:num w:numId="3" w16cid:durableId="1234776559">
    <w:abstractNumId w:val="5"/>
  </w:num>
  <w:num w:numId="4" w16cid:durableId="1292520918">
    <w:abstractNumId w:val="5"/>
  </w:num>
  <w:num w:numId="5" w16cid:durableId="437677116">
    <w:abstractNumId w:val="5"/>
  </w:num>
  <w:num w:numId="6" w16cid:durableId="611863953">
    <w:abstractNumId w:val="5"/>
  </w:num>
  <w:num w:numId="7" w16cid:durableId="2114855398">
    <w:abstractNumId w:val="5"/>
  </w:num>
  <w:num w:numId="8" w16cid:durableId="354835">
    <w:abstractNumId w:val="5"/>
  </w:num>
  <w:num w:numId="9" w16cid:durableId="1692994473">
    <w:abstractNumId w:val="5"/>
  </w:num>
  <w:num w:numId="10" w16cid:durableId="1190989788">
    <w:abstractNumId w:val="5"/>
  </w:num>
  <w:num w:numId="11" w16cid:durableId="875656622">
    <w:abstractNumId w:val="0"/>
  </w:num>
  <w:num w:numId="12" w16cid:durableId="64767406">
    <w:abstractNumId w:val="7"/>
  </w:num>
  <w:num w:numId="13" w16cid:durableId="226115160">
    <w:abstractNumId w:val="6"/>
  </w:num>
  <w:num w:numId="14" w16cid:durableId="361781637">
    <w:abstractNumId w:val="4"/>
  </w:num>
  <w:num w:numId="15" w16cid:durableId="324479796">
    <w:abstractNumId w:val="1"/>
  </w:num>
  <w:num w:numId="16" w16cid:durableId="1920482897">
    <w:abstractNumId w:val="8"/>
  </w:num>
  <w:num w:numId="17" w16cid:durableId="494494279">
    <w:abstractNumId w:val="3"/>
  </w:num>
  <w:num w:numId="18" w16cid:durableId="1504935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17"/>
    <w:rsid w:val="00044502"/>
    <w:rsid w:val="001038A1"/>
    <w:rsid w:val="00190994"/>
    <w:rsid w:val="001C131F"/>
    <w:rsid w:val="0025065B"/>
    <w:rsid w:val="002E1650"/>
    <w:rsid w:val="006C4021"/>
    <w:rsid w:val="007C48BA"/>
    <w:rsid w:val="00802416"/>
    <w:rsid w:val="00A3593B"/>
    <w:rsid w:val="00A600B5"/>
    <w:rsid w:val="00B450B7"/>
    <w:rsid w:val="00B503ED"/>
    <w:rsid w:val="00BC7E17"/>
    <w:rsid w:val="00C04D05"/>
    <w:rsid w:val="00C57F0F"/>
    <w:rsid w:val="00D06269"/>
    <w:rsid w:val="00D535CB"/>
    <w:rsid w:val="00D93DC3"/>
    <w:rsid w:val="00FC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D99E"/>
  <w15:chartTrackingRefBased/>
  <w15:docId w15:val="{0AE508BC-FAC3-4954-B0AA-8BBC046F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17"/>
    <w:rPr>
      <w:sz w:val="20"/>
    </w:rPr>
  </w:style>
  <w:style w:type="paragraph" w:styleId="Heading1">
    <w:name w:val="heading 1"/>
    <w:basedOn w:val="Normal"/>
    <w:next w:val="Normal"/>
    <w:link w:val="Heading1Char"/>
    <w:uiPriority w:val="9"/>
    <w:qFormat/>
    <w:rsid w:val="00BC7E17"/>
    <w:pPr>
      <w:keepNext/>
      <w:keepLines/>
      <w:spacing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C7E17"/>
    <w:pPr>
      <w:keepNext/>
      <w:keepLines/>
      <w:numPr>
        <w:numId w:val="2"/>
      </w:numPr>
      <w:tabs>
        <w:tab w:val="left" w:pos="426"/>
      </w:tabs>
      <w:spacing w:before="400" w:after="200" w:line="240" w:lineRule="auto"/>
      <w:outlineLvl w:val="1"/>
    </w:pPr>
    <w:rPr>
      <w:rFonts w:asciiTheme="majorHAnsi" w:eastAsiaTheme="majorEastAsia" w:hAnsiTheme="majorHAnsi" w:cstheme="majorBidi"/>
      <w:b/>
      <w:bCs/>
      <w:color w:val="000000" w:themeColor="text1"/>
      <w:sz w:val="24"/>
      <w:szCs w:val="24"/>
    </w:rPr>
  </w:style>
  <w:style w:type="paragraph" w:styleId="Heading3">
    <w:name w:val="heading 3"/>
    <w:basedOn w:val="Heading2"/>
    <w:next w:val="Normal"/>
    <w:link w:val="Heading3Char"/>
    <w:uiPriority w:val="9"/>
    <w:unhideWhenUsed/>
    <w:qFormat/>
    <w:rsid w:val="00BC7E17"/>
    <w:pPr>
      <w:numPr>
        <w:numId w:val="0"/>
      </w:numPr>
      <w:spacing w:before="0"/>
      <w:ind w:left="425" w:hanging="425"/>
      <w:outlineLvl w:val="2"/>
    </w:pPr>
    <w:rPr>
      <w:sz w:val="20"/>
      <w:szCs w:val="20"/>
    </w:rPr>
  </w:style>
  <w:style w:type="paragraph" w:styleId="Heading4">
    <w:name w:val="heading 4"/>
    <w:basedOn w:val="Heading3"/>
    <w:next w:val="Normal"/>
    <w:link w:val="Heading4Char"/>
    <w:uiPriority w:val="9"/>
    <w:unhideWhenUsed/>
    <w:qFormat/>
    <w:rsid w:val="002E165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E17"/>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C7E17"/>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
    <w:rsid w:val="00BC7E17"/>
    <w:rPr>
      <w:rFonts w:asciiTheme="majorHAnsi" w:eastAsiaTheme="majorEastAsia" w:hAnsiTheme="majorHAnsi" w:cstheme="majorBidi"/>
      <w:b/>
      <w:bCs/>
      <w:color w:val="000000" w:themeColor="text1"/>
      <w:sz w:val="20"/>
      <w:szCs w:val="20"/>
    </w:rPr>
  </w:style>
  <w:style w:type="paragraph" w:styleId="ListParagraph">
    <w:name w:val="List Paragraph"/>
    <w:basedOn w:val="Normal"/>
    <w:uiPriority w:val="34"/>
    <w:qFormat/>
    <w:rsid w:val="00BC7E17"/>
    <w:pPr>
      <w:ind w:left="720"/>
      <w:contextualSpacing/>
    </w:pPr>
  </w:style>
  <w:style w:type="character" w:customStyle="1" w:styleId="Heading4Char">
    <w:name w:val="Heading 4 Char"/>
    <w:basedOn w:val="DefaultParagraphFont"/>
    <w:link w:val="Heading4"/>
    <w:uiPriority w:val="9"/>
    <w:rsid w:val="002E1650"/>
    <w:rPr>
      <w:rFonts w:asciiTheme="majorHAnsi" w:eastAsiaTheme="majorEastAsia" w:hAnsiTheme="majorHAnsi" w:cstheme="majorBidi"/>
      <w:b/>
      <w:bCs/>
      <w:i/>
      <w:iCs/>
      <w:color w:val="000000" w:themeColor="text1"/>
      <w:sz w:val="20"/>
      <w:szCs w:val="20"/>
    </w:rPr>
  </w:style>
  <w:style w:type="paragraph" w:styleId="Header">
    <w:name w:val="header"/>
    <w:basedOn w:val="Normal"/>
    <w:link w:val="HeaderChar"/>
    <w:uiPriority w:val="99"/>
    <w:unhideWhenUsed/>
    <w:rsid w:val="00D93D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3DC3"/>
    <w:rPr>
      <w:sz w:val="20"/>
    </w:rPr>
  </w:style>
  <w:style w:type="paragraph" w:styleId="Footer">
    <w:name w:val="footer"/>
    <w:basedOn w:val="Normal"/>
    <w:link w:val="FooterChar"/>
    <w:uiPriority w:val="99"/>
    <w:unhideWhenUsed/>
    <w:rsid w:val="00D93D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3DC3"/>
    <w:rPr>
      <w:sz w:val="20"/>
    </w:rPr>
  </w:style>
  <w:style w:type="table" w:styleId="TableGrid">
    <w:name w:val="Table Grid"/>
    <w:basedOn w:val="TableNormal"/>
    <w:uiPriority w:val="39"/>
    <w:rsid w:val="00D9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1D25700BC86446A6F4FAD7372BBF42" ma:contentTypeVersion="7" ma:contentTypeDescription="Skapa ett nytt dokument." ma:contentTypeScope="" ma:versionID="f465763aea9a28deb3c7c513a254f292">
  <xsd:schema xmlns:xsd="http://www.w3.org/2001/XMLSchema" xmlns:xs="http://www.w3.org/2001/XMLSchema" xmlns:p="http://schemas.microsoft.com/office/2006/metadata/properties" xmlns:ns2="447c4792-b7e4-4d90-ab74-5e1d925417dc" targetNamespace="http://schemas.microsoft.com/office/2006/metadata/properties" ma:root="true" ma:fieldsID="163ce35fcd0098a537bd70e4039be697" ns2:_="">
    <xsd:import namespace="447c4792-b7e4-4d90-ab74-5e1d925417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c4792-b7e4-4d90-ab74-5e1d92541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500C1-26E1-4A05-8173-2585FFE57DC0}"/>
</file>

<file path=customXml/itemProps2.xml><?xml version="1.0" encoding="utf-8"?>
<ds:datastoreItem xmlns:ds="http://schemas.openxmlformats.org/officeDocument/2006/customXml" ds:itemID="{B44A987C-0065-4C4C-B7A3-43D75C00C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C1896-EBED-454C-A53D-049F41BF5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2212</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Fritz</dc:creator>
  <cp:keywords/>
  <dc:description/>
  <cp:lastModifiedBy>Carin Eriksson</cp:lastModifiedBy>
  <cp:revision>6</cp:revision>
  <dcterms:created xsi:type="dcterms:W3CDTF">2023-03-16T15:42:00Z</dcterms:created>
  <dcterms:modified xsi:type="dcterms:W3CDTF">2023-03-31T07:42:00Z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4143-8755-1046</vt:lpwstr>
  </property>
  <property fmtid="{D5CDD505-2E9C-101B-9397-08002B2CF9AE}" pid="3" name="ContentTypeId">
    <vt:lpwstr>0x010100CB1D25700BC86446A6F4FAD7372BBF42</vt:lpwstr>
  </property>
  <property fmtid="{D5CDD505-2E9C-101B-9397-08002B2CF9AE}" pid="4" name="Order">
    <vt:r8>387200</vt:r8>
  </property>
</Properties>
</file>